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cs="Calibri" w:cstheme="minorHAnsi"/>
          <w:b/>
          <w:bCs/>
          <w:sz w:val="28"/>
          <w:szCs w:val="28"/>
        </w:rPr>
      </w:pPr>
      <w:r>
        <w:rPr>
          <w:rFonts w:cs="Calibri" w:cstheme="minorHAnsi"/>
          <w:b/>
          <w:bCs/>
          <w:sz w:val="28"/>
          <w:szCs w:val="28"/>
        </w:rPr>
        <w:t>С Т А Н О В И Щ Е</w:t>
      </w:r>
    </w:p>
    <w:p>
      <w:pPr>
        <w:pStyle w:val="Normal"/>
        <w:spacing w:lineRule="auto" w:line="360" w:before="0" w:after="0"/>
        <w:jc w:val="center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  <w:t>от</w:t>
      </w:r>
    </w:p>
    <w:p>
      <w:pPr>
        <w:pStyle w:val="Normal"/>
        <w:spacing w:lineRule="auto" w:line="360" w:before="0" w:after="0"/>
        <w:jc w:val="center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  <w:t>Проф. Александър Петров Червеняков д м н</w:t>
      </w:r>
    </w:p>
    <w:p>
      <w:pPr>
        <w:pStyle w:val="Normal"/>
        <w:spacing w:lineRule="auto" w:line="360" w:before="0" w:after="0"/>
        <w:jc w:val="center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  <w:t xml:space="preserve">Клиника  по Гръдна Хирургия - УМБАЛ „СОФИЯМЕД“    </w:t>
      </w:r>
      <w:r>
        <w:rPr>
          <w:rFonts w:cs="Calibri" w:cstheme="minorHAnsi"/>
          <w:sz w:val="28"/>
          <w:szCs w:val="28"/>
          <w:lang w:val="en-GB"/>
        </w:rPr>
        <w:t>-</w:t>
      </w:r>
      <w:r>
        <w:rPr>
          <w:rFonts w:cs="Calibri" w:cstheme="minorHAnsi"/>
          <w:sz w:val="28"/>
          <w:szCs w:val="28"/>
        </w:rPr>
        <w:t xml:space="preserve">     гр. София</w:t>
      </w:r>
    </w:p>
    <w:p>
      <w:pPr>
        <w:pStyle w:val="Normal"/>
        <w:spacing w:lineRule="auto" w:line="360" w:before="0" w:after="0"/>
        <w:jc w:val="center"/>
        <w:rPr>
          <w:rFonts w:ascii="Calibri" w:hAnsi="Calibri" w:cs="Calibri" w:cstheme="minorHAnsi"/>
          <w:b w:val="false"/>
          <w:bCs w:val="false"/>
          <w:sz w:val="28"/>
          <w:szCs w:val="28"/>
          <w:u w:val="none"/>
        </w:rPr>
      </w:pPr>
      <w:r>
        <w:rPr>
          <w:rFonts w:cs="Calibri" w:cstheme="minorHAnsi" w:ascii="Calibri" w:hAnsi="Calibri"/>
          <w:b w:val="false"/>
          <w:bCs w:val="false"/>
          <w:sz w:val="28"/>
          <w:szCs w:val="28"/>
          <w:u w:val="none"/>
        </w:rPr>
      </w:r>
    </w:p>
    <w:p>
      <w:pPr>
        <w:pStyle w:val="Normal"/>
        <w:spacing w:lineRule="auto" w:line="360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cs="Calibri" w:ascii="Calibri" w:hAnsi="Calibri" w:cstheme="minorHAnsi"/>
          <w:b w:val="false"/>
          <w:bCs w:val="false"/>
          <w:sz w:val="28"/>
          <w:szCs w:val="28"/>
          <w:u w:val="none"/>
        </w:rPr>
        <w:t>Член на научното жури за присъждане на образователна и научна степен „ДОКТОР” съгласно заповед № /.2026 на Директора на УМБАЛСМП „Н.И.Пирогов“ - София.</w:t>
      </w:r>
      <w:r>
        <w:rPr>
          <w:rFonts w:cs="Calibri" w:ascii="Calibri" w:hAnsi="Calibri" w:cstheme="minorHAnsi"/>
          <w:b w:val="false"/>
          <w:bCs w:val="false"/>
          <w:sz w:val="28"/>
          <w:szCs w:val="28"/>
          <w:u w:val="none"/>
        </w:rPr>
        <w:t xml:space="preserve"> Относно:</w:t>
      </w:r>
      <w:r>
        <w:rPr>
          <w:rFonts w:cs="Calibri" w:ascii="Calibri" w:hAnsi="Calibri" w:cstheme="minorHAnsi"/>
          <w:b w:val="false"/>
          <w:bCs w:val="false"/>
          <w:sz w:val="28"/>
          <w:szCs w:val="28"/>
          <w:u w:val="none"/>
        </w:rPr>
        <w:t xml:space="preserve"> Дисертационен труд</w:t>
      </w:r>
      <w:r>
        <w:rPr>
          <w:rFonts w:cs="Calibri" w:ascii="Calibri" w:hAnsi="Calibri" w:cstheme="minorHAnsi"/>
          <w:b w:val="false"/>
          <w:bCs w:val="false"/>
          <w:sz w:val="28"/>
          <w:szCs w:val="28"/>
          <w:u w:val="none"/>
        </w:rPr>
        <w:t xml:space="preserve"> на</w:t>
      </w:r>
      <w:r>
        <w:rPr>
          <w:rFonts w:cs="Calibri" w:ascii="Calibri" w:hAnsi="Calibri" w:cstheme="minorHAnsi"/>
          <w:b w:val="false"/>
          <w:bCs w:val="false"/>
          <w:sz w:val="28"/>
          <w:szCs w:val="28"/>
          <w:u w:val="none"/>
        </w:rPr>
        <w:t xml:space="preserve"> тема "</w:t>
      </w:r>
      <w:r>
        <w:rPr>
          <w:rFonts w:eastAsia="Times New Roman" w:cs="Calibri" w:ascii="Calibri" w:hAnsi="Calibri" w:cstheme="minorHAnsi"/>
          <w:b w:val="false"/>
          <w:bCs w:val="false"/>
          <w:color w:val="000000"/>
          <w:sz w:val="28"/>
          <w:szCs w:val="28"/>
          <w:u w:val="none"/>
          <w:lang w:val="en-GB" w:eastAsia="en-GB"/>
        </w:rPr>
        <w:t>Сравнително проучване върху възможностите за лечение на ингвинална херния със стандартна трипортова и тотална екстраперитонеална пластика през един кожен разрез</w:t>
      </w:r>
      <w:r>
        <w:rPr>
          <w:rFonts w:eastAsia="Times New Roman" w:cs="Calibri" w:ascii="Calibri" w:hAnsi="Calibri" w:cstheme="minorHAnsi"/>
          <w:b w:val="false"/>
          <w:bCs w:val="false"/>
          <w:color w:val="000000"/>
          <w:sz w:val="28"/>
          <w:szCs w:val="28"/>
          <w:u w:val="none"/>
          <w:lang w:eastAsia="en-GB"/>
        </w:rPr>
        <w:t xml:space="preserve">“  </w:t>
      </w:r>
      <w:r>
        <w:rPr>
          <w:rFonts w:eastAsia="Times New Roman" w:cs="Calibri" w:ascii="Calibri" w:hAnsi="Calibri" w:cstheme="minorHAnsi"/>
          <w:b w:val="false"/>
          <w:bCs w:val="false"/>
          <w:color w:val="000000"/>
          <w:sz w:val="28"/>
          <w:szCs w:val="28"/>
          <w:u w:val="none"/>
          <w:lang w:eastAsia="en-GB"/>
        </w:rPr>
        <w:t>с н</w:t>
      </w:r>
      <w:r>
        <w:rPr>
          <w:rFonts w:eastAsia="Times New Roman" w:cs="Calibri" w:ascii="Calibri" w:hAnsi="Calibri" w:cstheme="minorHAnsi"/>
          <w:b w:val="false"/>
          <w:bCs w:val="false"/>
          <w:color w:val="000000"/>
          <w:sz w:val="28"/>
          <w:szCs w:val="28"/>
          <w:u w:val="none"/>
          <w:lang w:val="en-GB" w:eastAsia="en-GB"/>
        </w:rPr>
        <w:t>аучни ръководители: доц. д-р Теодор Атанасов,дм</w:t>
      </w:r>
      <w:r>
        <w:rPr>
          <w:rFonts w:eastAsia="Times New Roman" w:cs="Calibri" w:ascii="Calibri" w:hAnsi="Calibri" w:cstheme="minorHAnsi"/>
          <w:b w:val="false"/>
          <w:bCs w:val="false"/>
          <w:color w:val="000000"/>
          <w:sz w:val="28"/>
          <w:szCs w:val="28"/>
          <w:u w:val="none"/>
          <w:lang w:eastAsia="en-GB"/>
        </w:rPr>
        <w:t xml:space="preserve"> и </w:t>
      </w:r>
      <w:r>
        <w:rPr>
          <w:rFonts w:eastAsia="Times New Roman" w:cs="Calibri" w:ascii="Calibri" w:hAnsi="Calibri" w:cstheme="minorHAnsi"/>
          <w:b w:val="false"/>
          <w:bCs w:val="false"/>
          <w:color w:val="000000"/>
          <w:sz w:val="28"/>
          <w:szCs w:val="28"/>
          <w:u w:val="none"/>
          <w:lang w:val="en-GB" w:eastAsia="en-GB"/>
        </w:rPr>
        <w:t>доц. д-р Стоян Сопотенски, дм</w:t>
      </w:r>
      <w:r>
        <w:rPr>
          <w:rFonts w:eastAsia="Times New Roman" w:cs="Calibri" w:ascii="Calibri" w:hAnsi="Calibri" w:cstheme="minorHAnsi"/>
          <w:b w:val="false"/>
          <w:bCs w:val="false"/>
          <w:color w:val="000000"/>
          <w:sz w:val="28"/>
          <w:szCs w:val="28"/>
          <w:u w:val="none"/>
          <w:lang w:eastAsia="en-GB"/>
        </w:rPr>
        <w:t xml:space="preserve">, </w:t>
      </w:r>
      <w:r>
        <w:rPr>
          <w:rFonts w:cs="Calibri" w:ascii="Calibri" w:hAnsi="Calibri" w:cstheme="minorHAnsi"/>
          <w:b w:val="false"/>
          <w:bCs w:val="false"/>
          <w:sz w:val="28"/>
          <w:szCs w:val="28"/>
          <w:u w:val="none"/>
        </w:rPr>
        <w:t xml:space="preserve">за присъждане на образователна и научна степен "Доктор" на </w:t>
      </w:r>
      <w:bookmarkStart w:id="0" w:name="_Hlk227534865"/>
      <w:r>
        <w:rPr>
          <w:rFonts w:cs="Calibri" w:ascii="Calibri" w:hAnsi="Calibri" w:cstheme="minorHAnsi"/>
          <w:b w:val="false"/>
          <w:bCs w:val="false"/>
          <w:sz w:val="28"/>
          <w:szCs w:val="28"/>
          <w:u w:val="none"/>
        </w:rPr>
        <w:t xml:space="preserve">д-р Катя Тодорова </w:t>
      </w:r>
      <w:bookmarkEnd w:id="0"/>
      <w:r>
        <w:rPr>
          <w:rFonts w:cs="Calibri" w:ascii="Calibri" w:hAnsi="Calibri" w:cstheme="minorHAnsi"/>
          <w:b w:val="false"/>
          <w:bCs w:val="false"/>
          <w:sz w:val="28"/>
          <w:szCs w:val="28"/>
          <w:u w:val="none"/>
        </w:rPr>
        <w:t>Тодорова  в</w:t>
      </w:r>
      <w:r>
        <w:rPr>
          <w:rFonts w:cs="Calibri" w:ascii="Calibri" w:hAnsi="Calibri" w:cstheme="minorHAnsi"/>
          <w:b w:val="false"/>
          <w:bCs w:val="false"/>
          <w:sz w:val="28"/>
          <w:szCs w:val="28"/>
          <w:u w:val="none"/>
        </w:rPr>
        <w:t xml:space="preserve"> научно звено: Клиника по Обща и Миниинвазивна Хирургия на УМБАЛ „СОФИЯМЕД“ </w:t>
      </w:r>
    </w:p>
    <w:p>
      <w:pPr>
        <w:pStyle w:val="Normal"/>
        <w:spacing w:lineRule="auto" w:line="360" w:before="0" w:after="0"/>
        <w:ind w:firstLine="708"/>
        <w:jc w:val="both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cs="Calibri" w:ascii="Calibri" w:hAnsi="Calibri" w:cstheme="minorHAnsi"/>
          <w:b w:val="false"/>
          <w:bCs w:val="false"/>
          <w:sz w:val="28"/>
          <w:szCs w:val="28"/>
          <w:u w:val="none"/>
          <w:lang w:val="ru-RU"/>
        </w:rPr>
        <w:t>Област  на Висшето образование: (</w:t>
      </w:r>
      <w:r>
        <w:rPr>
          <w:rFonts w:cs="Calibri" w:ascii="Calibri" w:hAnsi="Calibri" w:cstheme="minorHAnsi"/>
          <w:b w:val="false"/>
          <w:bCs w:val="false"/>
          <w:sz w:val="28"/>
          <w:szCs w:val="28"/>
          <w:u w:val="none"/>
        </w:rPr>
        <w:t xml:space="preserve">код </w:t>
      </w:r>
      <w:r>
        <w:rPr>
          <w:rFonts w:cs="Calibri" w:ascii="Calibri" w:hAnsi="Calibri" w:cstheme="minorHAnsi"/>
          <w:b w:val="false"/>
          <w:bCs w:val="false"/>
          <w:sz w:val="28"/>
          <w:szCs w:val="28"/>
          <w:u w:val="none"/>
          <w:lang w:val="ru-RU"/>
        </w:rPr>
        <w:t xml:space="preserve">7.) </w:t>
      </w:r>
      <w:r>
        <w:rPr>
          <w:rFonts w:cs="Calibri" w:ascii="Calibri" w:hAnsi="Calibri" w:cstheme="minorHAnsi"/>
          <w:b w:val="false"/>
          <w:bCs w:val="false"/>
          <w:sz w:val="28"/>
          <w:szCs w:val="28"/>
          <w:u w:val="none"/>
        </w:rPr>
        <w:t xml:space="preserve">„Здравеопазване и Спорт”. </w:t>
      </w:r>
      <w:r>
        <w:rPr>
          <w:rFonts w:cs="Calibri" w:ascii="Calibri" w:hAnsi="Calibri" w:cstheme="minorHAnsi"/>
          <w:b w:val="false"/>
          <w:bCs w:val="false"/>
          <w:sz w:val="28"/>
          <w:szCs w:val="28"/>
          <w:u w:val="none"/>
          <w:lang w:val="ru-RU"/>
        </w:rPr>
        <w:t xml:space="preserve">Професионално направление: (код 7.1.) </w:t>
      </w:r>
      <w:r>
        <w:rPr>
          <w:rFonts w:cs="Calibri" w:ascii="Calibri" w:hAnsi="Calibri" w:cstheme="minorHAnsi"/>
          <w:b w:val="false"/>
          <w:bCs w:val="false"/>
          <w:sz w:val="28"/>
          <w:szCs w:val="28"/>
          <w:u w:val="none"/>
        </w:rPr>
        <w:t>„Медицина”.</w:t>
      </w:r>
    </w:p>
    <w:p>
      <w:pPr>
        <w:pStyle w:val="Normal"/>
        <w:spacing w:lineRule="auto" w:line="360" w:before="0" w:after="0"/>
        <w:jc w:val="both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cs="Calibri" w:ascii="Calibri" w:hAnsi="Calibri" w:cstheme="minorHAnsi"/>
          <w:b w:val="false"/>
          <w:bCs w:val="false"/>
          <w:sz w:val="28"/>
          <w:szCs w:val="28"/>
          <w:u w:val="none"/>
          <w:lang w:val="ru-RU"/>
        </w:rPr>
        <w:t xml:space="preserve">Научна специалност: </w:t>
      </w:r>
      <w:r>
        <w:rPr>
          <w:rFonts w:cs="Calibri" w:ascii="Calibri" w:hAnsi="Calibri" w:cstheme="minorHAnsi"/>
          <w:b w:val="false"/>
          <w:bCs w:val="false"/>
          <w:sz w:val="28"/>
          <w:szCs w:val="28"/>
          <w:u w:val="none"/>
        </w:rPr>
        <w:t>„Хирургия”.</w:t>
      </w:r>
    </w:p>
    <w:p>
      <w:pPr>
        <w:pStyle w:val="Normal"/>
        <w:spacing w:lineRule="auto" w:line="360" w:before="0" w:after="0"/>
        <w:rPr>
          <w:rFonts w:ascii="Calibri" w:hAnsi="Calibri" w:cs="Calibri" w:cstheme="minorHAnsi"/>
          <w:b/>
          <w:bCs/>
          <w:sz w:val="28"/>
          <w:szCs w:val="28"/>
          <w:u w:val="none"/>
          <w:lang w:val="ru-RU"/>
        </w:rPr>
      </w:pPr>
      <w:r>
        <w:rPr>
          <w:rFonts w:cs="Calibri" w:cstheme="minorHAnsi" w:ascii="Calibri" w:hAnsi="Calibri"/>
          <w:b/>
          <w:bCs/>
          <w:sz w:val="28"/>
          <w:szCs w:val="28"/>
          <w:u w:val="none"/>
          <w:lang w:val="ru-RU"/>
        </w:rPr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rPr>
          <w:rFonts w:ascii="Calibri" w:hAnsi="Calibri"/>
          <w:b/>
          <w:bCs/>
          <w:sz w:val="28"/>
          <w:szCs w:val="28"/>
          <w:u w:val="none"/>
        </w:rPr>
      </w:pPr>
      <w:r>
        <w:rPr>
          <w:rFonts w:cs="Calibri" w:ascii="Calibri" w:hAnsi="Calibri" w:cstheme="minorHAnsi"/>
          <w:b/>
          <w:bCs/>
          <w:sz w:val="28"/>
          <w:szCs w:val="28"/>
          <w:u w:val="none"/>
          <w:lang w:val="ru-RU"/>
        </w:rPr>
        <w:t>Биографични данни и кариерно развитие</w:t>
      </w:r>
      <w:r>
        <w:rPr>
          <w:rFonts w:cs="Calibri" w:ascii="Calibri" w:hAnsi="Calibri" w:cstheme="minorHAnsi"/>
          <w:b/>
          <w:bCs/>
          <w:sz w:val="28"/>
          <w:szCs w:val="28"/>
          <w:u w:val="none"/>
          <w:lang w:val="ru-RU"/>
        </w:rPr>
        <w:t>:</w:t>
      </w:r>
    </w:p>
    <w:p>
      <w:pPr>
        <w:pStyle w:val="Normal"/>
        <w:spacing w:lineRule="auto" w:line="360"/>
        <w:ind w:firstLine="720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cs="Calibri" w:ascii="Calibri" w:hAnsi="Calibri" w:cstheme="minorHAnsi"/>
          <w:b w:val="false"/>
          <w:bCs w:val="false"/>
          <w:sz w:val="28"/>
          <w:szCs w:val="28"/>
          <w:u w:val="none"/>
        </w:rPr>
        <w:t>д-р Катя Тодорова завършва  Национална Природоматематическа Гимназия  „Акад. Л. ЧАКАЛОВ“ през 2011 г. и Медицински Университет – София през 2018 г.</w:t>
      </w:r>
    </w:p>
    <w:p>
      <w:pPr>
        <w:pStyle w:val="Normal"/>
        <w:spacing w:lineRule="auto" w:line="360"/>
        <w:ind w:firstLine="720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cs="Calibri" w:ascii="Calibri" w:hAnsi="Calibri" w:cstheme="minorHAnsi"/>
          <w:b w:val="false"/>
          <w:bCs w:val="false"/>
          <w:sz w:val="28"/>
          <w:szCs w:val="28"/>
          <w:u w:val="none"/>
        </w:rPr>
        <w:t xml:space="preserve">От същата година е назначена като специализант в  Клиника по Хирургия на УМБАЛ „СОФИЯМЕД“ – София. Придобива специалност по Хирургия през 2023 г. и от 2024 е Хоноруван асистент по обща и оперативна хирургия за студенти в Мед. Факултет на СУ „Св. Климент Охридски“.  </w:t>
      </w:r>
    </w:p>
    <w:p>
      <w:pPr>
        <w:pStyle w:val="Normal"/>
        <w:spacing w:lineRule="auto" w:line="360"/>
        <w:ind w:firstLine="720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cs="Calibri" w:ascii="Calibri" w:hAnsi="Calibri" w:cstheme="minorHAnsi"/>
          <w:b w:val="false"/>
          <w:bCs w:val="false"/>
          <w:sz w:val="28"/>
          <w:szCs w:val="28"/>
          <w:u w:val="none"/>
        </w:rPr>
        <w:t>Провежда специализации по миниинвазижна хирургия в Ескулап Академия в Пловдив – 2018г., Страсбург - 2022 г., Истанбул – 2023 г. и  Амстердам 2024 г.</w:t>
      </w:r>
    </w:p>
    <w:p>
      <w:pPr>
        <w:pStyle w:val="Normal"/>
        <w:spacing w:lineRule="auto" w:line="360"/>
        <w:ind w:firstLine="720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cs="Calibri" w:ascii="Calibri" w:hAnsi="Calibri" w:cstheme="minorHAnsi"/>
          <w:b w:val="false"/>
          <w:bCs w:val="false"/>
          <w:sz w:val="28"/>
          <w:szCs w:val="28"/>
          <w:u w:val="none"/>
        </w:rPr>
        <w:t>Д-р Катя Тодорова членува в следните професионални и научни организации:   Бългаски лекарски съюз ;  Европейска херниална асоциация;  Българско хирургично дружество и Европейската Асоциация по Ендоскопска Хирургия.</w:t>
      </w:r>
    </w:p>
    <w:p>
      <w:pPr>
        <w:pStyle w:val="ListParagraph"/>
        <w:numPr>
          <w:ilvl w:val="0"/>
          <w:numId w:val="2"/>
        </w:numPr>
        <w:spacing w:lineRule="auto" w:line="360" w:beforeAutospacing="1" w:afterAutospacing="1"/>
        <w:contextualSpacing/>
        <w:outlineLvl w:val="1"/>
        <w:rPr>
          <w:rFonts w:ascii="Calibri" w:hAnsi="Calibri"/>
          <w:b/>
          <w:bCs/>
          <w:sz w:val="28"/>
          <w:szCs w:val="28"/>
          <w:u w:val="none"/>
        </w:rPr>
      </w:pPr>
      <w:r>
        <w:rPr>
          <w:rFonts w:eastAsia="Times New Roman" w:cs="Calibri" w:ascii="Calibri" w:hAnsi="Calibri" w:cstheme="minorHAnsi"/>
          <w:b/>
          <w:bCs/>
          <w:sz w:val="28"/>
          <w:szCs w:val="28"/>
          <w:u w:val="none"/>
          <w:lang w:val="en-GB" w:eastAsia="en-GB"/>
        </w:rPr>
        <w:t>Актуалност и значимост на темата</w:t>
      </w:r>
    </w:p>
    <w:p>
      <w:pPr>
        <w:pStyle w:val="BodyText"/>
        <w:spacing w:lineRule="auto" w:line="360" w:before="280" w:after="280"/>
        <w:jc w:val="start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ab/>
        <w:t xml:space="preserve">Ингвиналната херния представлява едно от най-честите хирургични заболявания, изискващи оперативно лечение. Въвеждането на лапароскопските техники, и по-специално тотално екстраперитонеалната пластика (TEP), значително подобрява следоперативните резултати и качеството на живот на пациентите. </w:t>
      </w:r>
      <w:r>
        <w:rPr>
          <w:rFonts w:cs="Times New Roman" w:ascii="Calibri" w:hAnsi="Calibri"/>
          <w:b w:val="false"/>
          <w:bCs w:val="false"/>
          <w:sz w:val="28"/>
          <w:szCs w:val="28"/>
          <w:u w:val="none"/>
        </w:rPr>
        <w:t>В последните години се развиват техники, насочени към допълнително намаляване на оперативната травма, сред които еднопортовата лапароскопска хирургия (LESS-TEP). Липсата на достатъчно клинични данни за ефективността и безопасността на този метод обуславя необходимостта от настоящото проучване.</w:t>
      </w:r>
    </w:p>
    <w:p>
      <w:pPr>
        <w:pStyle w:val="Normal"/>
        <w:spacing w:lineRule="auto" w:line="360" w:beforeAutospacing="1" w:afterAutospacing="1"/>
        <w:ind w:firstLine="720"/>
        <w:jc w:val="start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Calibri" w:ascii="Calibri" w:hAnsi="Calibri" w:cstheme="minorHAnsi"/>
          <w:b w:val="false"/>
          <w:bCs w:val="false"/>
          <w:sz w:val="28"/>
          <w:szCs w:val="28"/>
          <w:u w:val="none"/>
          <w:lang w:val="en-GB" w:eastAsia="en-GB"/>
        </w:rPr>
        <w:t xml:space="preserve">Темата на дисертационния труд е актуална и значима в контекста на съвременното развитие на </w:t>
      </w:r>
      <w:r>
        <w:rPr>
          <w:rFonts w:eastAsia="Times New Roman" w:cs="Calibri" w:ascii="Calibri" w:hAnsi="Calibri" w:cstheme="minorHAnsi"/>
          <w:b w:val="false"/>
          <w:bCs w:val="false"/>
          <w:sz w:val="28"/>
          <w:szCs w:val="28"/>
          <w:u w:val="none"/>
          <w:lang w:eastAsia="en-GB"/>
        </w:rPr>
        <w:t>Миниинвазивната хирургия у нас.</w:t>
      </w:r>
      <w:r>
        <w:rPr>
          <w:rFonts w:eastAsia="Times New Roman" w:cs="Calibri" w:ascii="Calibri" w:hAnsi="Calibri" w:cstheme="minorHAnsi"/>
          <w:b w:val="false"/>
          <w:bCs w:val="false"/>
          <w:sz w:val="28"/>
          <w:szCs w:val="28"/>
          <w:u w:val="none"/>
          <w:lang w:val="en-GB" w:eastAsia="en-GB"/>
        </w:rPr>
        <w:t xml:space="preserve"> Тя засяга важни научни и практико-приложни проблеми, свързани с </w:t>
      </w:r>
      <w:r>
        <w:rPr>
          <w:rFonts w:eastAsia="Times New Roman" w:cs="Calibri" w:ascii="Calibri" w:hAnsi="Calibri" w:cstheme="minorHAnsi"/>
          <w:b w:val="false"/>
          <w:bCs w:val="false"/>
          <w:sz w:val="28"/>
          <w:szCs w:val="28"/>
          <w:u w:val="none"/>
          <w:lang w:eastAsia="en-GB"/>
        </w:rPr>
        <w:t xml:space="preserve">приложението на </w:t>
      </w:r>
      <w:r>
        <w:rPr>
          <w:rFonts w:eastAsia="Times New Roman" w:cs="Calibri" w:ascii="Calibri" w:hAnsi="Calibri" w:cstheme="minorHAnsi"/>
          <w:b w:val="false"/>
          <w:bCs w:val="false"/>
          <w:sz w:val="28"/>
          <w:szCs w:val="28"/>
          <w:u w:val="none"/>
          <w:lang w:val="en-US" w:eastAsia="en-GB"/>
        </w:rPr>
        <w:t>TEP</w:t>
      </w:r>
      <w:r>
        <w:rPr>
          <w:rFonts w:eastAsia="Times New Roman" w:cs="Calibri" w:ascii="Calibri" w:hAnsi="Calibri" w:cstheme="minorHAnsi"/>
          <w:b w:val="false"/>
          <w:bCs w:val="false"/>
          <w:sz w:val="28"/>
          <w:szCs w:val="28"/>
          <w:u w:val="none"/>
          <w:lang w:eastAsia="en-GB"/>
        </w:rPr>
        <w:t xml:space="preserve"> с трипортовата техника и модифицираната </w:t>
      </w:r>
      <w:r>
        <w:rPr>
          <w:rFonts w:eastAsia="Times New Roman" w:cs="Calibri" w:ascii="Calibri" w:hAnsi="Calibri" w:cstheme="minorHAnsi"/>
          <w:b w:val="false"/>
          <w:bCs w:val="false"/>
          <w:sz w:val="28"/>
          <w:szCs w:val="28"/>
          <w:u w:val="none"/>
          <w:lang w:val="en-US" w:eastAsia="en-GB"/>
        </w:rPr>
        <w:t xml:space="preserve">LESS – TEP </w:t>
      </w:r>
      <w:r>
        <w:rPr>
          <w:rFonts w:eastAsia="Times New Roman" w:cs="Calibri" w:ascii="Calibri" w:hAnsi="Calibri" w:cstheme="minorHAnsi"/>
          <w:b w:val="false"/>
          <w:bCs w:val="false"/>
          <w:sz w:val="28"/>
          <w:szCs w:val="28"/>
          <w:u w:val="none"/>
          <w:lang w:eastAsia="en-GB"/>
        </w:rPr>
        <w:t>техника. Проучването е проведено проспективно и рандомизирано с 200 пациенти.</w:t>
      </w:r>
    </w:p>
    <w:p>
      <w:pPr>
        <w:pStyle w:val="Normal"/>
        <w:numPr>
          <w:ilvl w:val="0"/>
          <w:numId w:val="0"/>
        </w:numPr>
        <w:spacing w:lineRule="auto" w:line="360" w:beforeAutospacing="1" w:afterAutospacing="1"/>
        <w:ind w:firstLine="720" w:start="0"/>
        <w:outlineLvl w:val="1"/>
        <w:rPr>
          <w:rFonts w:ascii="Calibri" w:hAnsi="Calibri"/>
          <w:b/>
          <w:bCs/>
          <w:sz w:val="28"/>
          <w:szCs w:val="28"/>
          <w:u w:val="none"/>
        </w:rPr>
      </w:pPr>
      <w:r>
        <w:rPr>
          <w:rFonts w:eastAsia="Times New Roman" w:cs="Calibri" w:ascii="Calibri" w:hAnsi="Calibri" w:cstheme="minorHAnsi"/>
          <w:b/>
          <w:bCs/>
          <w:sz w:val="28"/>
          <w:szCs w:val="28"/>
          <w:u w:val="none"/>
          <w:lang w:eastAsia="en-GB"/>
        </w:rPr>
        <w:t>3</w:t>
      </w:r>
      <w:r>
        <w:rPr>
          <w:rFonts w:eastAsia="Times New Roman" w:cs="Calibri" w:ascii="Calibri" w:hAnsi="Calibri" w:cstheme="minorHAnsi"/>
          <w:b/>
          <w:bCs/>
          <w:sz w:val="28"/>
          <w:szCs w:val="28"/>
          <w:u w:val="none"/>
          <w:lang w:val="en-GB" w:eastAsia="en-GB"/>
        </w:rPr>
        <w:t>. Структура и обем на дисертационния труд</w:t>
      </w:r>
    </w:p>
    <w:p>
      <w:pPr>
        <w:pStyle w:val="Normal"/>
        <w:numPr>
          <w:ilvl w:val="0"/>
          <w:numId w:val="0"/>
        </w:numPr>
        <w:spacing w:lineRule="auto" w:line="240" w:before="337" w:after="337"/>
        <w:ind w:firstLine="720" w:start="0"/>
        <w:jc w:val="start"/>
        <w:outlineLvl w:val="1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Calibri" w:ascii="Calibri" w:hAnsi="Calibri" w:cstheme="minorHAnsi"/>
          <w:b w:val="false"/>
          <w:bCs w:val="false"/>
          <w:sz w:val="28"/>
          <w:szCs w:val="28"/>
          <w:u w:val="none"/>
          <w:lang w:val="en-GB" w:eastAsia="en-GB"/>
        </w:rPr>
        <w:t xml:space="preserve">Дисертационният труд е структуриран логично и </w:t>
      </w:r>
      <w:r>
        <w:rPr>
          <w:rFonts w:eastAsia="Times New Roman" w:cs="Calibri" w:ascii="Calibri" w:hAnsi="Calibri" w:cstheme="minorHAnsi"/>
          <w:b w:val="false"/>
          <w:bCs w:val="false"/>
          <w:sz w:val="28"/>
          <w:szCs w:val="28"/>
          <w:u w:val="none"/>
          <w:lang w:val="bg-BG" w:eastAsia="en-GB"/>
        </w:rPr>
        <w:t>п</w:t>
      </w:r>
      <w:r>
        <w:rPr>
          <w:rFonts w:eastAsia="Times New Roman" w:cs="Calibri" w:ascii="Calibri" w:hAnsi="Calibri" w:cstheme="minorHAnsi"/>
          <w:b w:val="false"/>
          <w:bCs w:val="false"/>
          <w:sz w:val="28"/>
          <w:szCs w:val="28"/>
          <w:u w:val="none"/>
          <w:lang w:val="bg-BG" w:eastAsia="en-GB"/>
        </w:rPr>
        <w:t>о</w:t>
      </w:r>
      <w:r>
        <w:rPr>
          <w:rFonts w:eastAsia="Times New Roman" w:cs="Calibri" w:ascii="Calibri" w:hAnsi="Calibri" w:cstheme="minorHAnsi"/>
          <w:b w:val="false"/>
          <w:bCs w:val="false"/>
          <w:sz w:val="28"/>
          <w:szCs w:val="28"/>
          <w:u w:val="none"/>
          <w:lang w:val="bg-BG" w:eastAsia="en-GB"/>
        </w:rPr>
        <w:t>следователно</w:t>
      </w:r>
      <w:r>
        <w:rPr>
          <w:rFonts w:eastAsia="Times New Roman" w:cs="Calibri" w:ascii="Calibri" w:hAnsi="Calibri" w:cstheme="minorHAnsi"/>
          <w:b w:val="false"/>
          <w:bCs w:val="false"/>
          <w:sz w:val="28"/>
          <w:szCs w:val="28"/>
          <w:u w:val="none"/>
          <w:lang w:val="en-GB" w:eastAsia="en-GB"/>
        </w:rPr>
        <w:t xml:space="preserve">.  Общият обем е </w:t>
      </w:r>
      <w:r>
        <w:rPr>
          <w:rFonts w:eastAsia="Times New Roman" w:cs="Calibri" w:ascii="Calibri" w:hAnsi="Calibri" w:cstheme="minorHAnsi"/>
          <w:b w:val="false"/>
          <w:bCs w:val="false"/>
          <w:sz w:val="28"/>
          <w:szCs w:val="28"/>
          <w:u w:val="none"/>
          <w:lang w:eastAsia="en-GB"/>
        </w:rPr>
        <w:t>180</w:t>
      </w:r>
      <w:r>
        <w:rPr>
          <w:rFonts w:eastAsia="Times New Roman" w:cs="Calibri" w:ascii="Calibri" w:hAnsi="Calibri" w:cstheme="minorHAnsi"/>
          <w:b w:val="false"/>
          <w:bCs w:val="false"/>
          <w:sz w:val="28"/>
          <w:szCs w:val="28"/>
          <w:u w:val="none"/>
          <w:lang w:val="en-GB" w:eastAsia="en-GB"/>
        </w:rPr>
        <w:t xml:space="preserve"> страници</w:t>
      </w:r>
      <w:r>
        <w:rPr>
          <w:rFonts w:eastAsia="Times New Roman" w:cs="Calibri" w:ascii="Calibri" w:hAnsi="Calibri" w:cstheme="minorHAnsi"/>
          <w:b w:val="false"/>
          <w:bCs w:val="false"/>
          <w:sz w:val="28"/>
          <w:szCs w:val="28"/>
          <w:u w:val="none"/>
          <w:lang w:eastAsia="en-GB"/>
        </w:rPr>
        <w:t xml:space="preserve"> </w:t>
      </w:r>
      <w:r>
        <w:rPr>
          <w:rFonts w:cs="Calibri" w:ascii="Calibri" w:hAnsi="Calibri" w:cstheme="minorHAnsi"/>
          <w:b w:val="false"/>
          <w:bCs w:val="false"/>
          <w:sz w:val="28"/>
          <w:szCs w:val="28"/>
          <w:u w:val="none"/>
        </w:rPr>
        <w:t>от които 34 страници библиографска справка</w:t>
      </w:r>
      <w:r>
        <w:rPr>
          <w:rFonts w:eastAsia="Times New Roman" w:cs="Calibri" w:ascii="Calibri" w:hAnsi="Calibri" w:cstheme="minorHAnsi"/>
          <w:b w:val="false"/>
          <w:bCs w:val="false"/>
          <w:sz w:val="28"/>
          <w:szCs w:val="28"/>
          <w:u w:val="none"/>
          <w:lang w:val="en-GB" w:eastAsia="en-GB"/>
        </w:rPr>
        <w:t>, което съответства на приетите академични стандарти</w:t>
      </w:r>
      <w:r>
        <w:rPr>
          <w:rFonts w:cs="Calibri" w:ascii="Calibri" w:hAnsi="Calibri" w:cstheme="minorHAnsi"/>
          <w:b w:val="false"/>
          <w:bCs w:val="false"/>
          <w:sz w:val="28"/>
          <w:szCs w:val="28"/>
          <w:u w:val="none"/>
        </w:rPr>
        <w:t xml:space="preserve">  . Илюстрирана е с 34 фигури и 21 таблици. Страниците са разпределени както следва: </w:t>
      </w:r>
    </w:p>
    <w:p>
      <w:pPr>
        <w:pStyle w:val="NormalWeb"/>
        <w:spacing w:lineRule="auto" w:line="240" w:before="337" w:after="337"/>
        <w:jc w:val="start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8"/>
          <w:szCs w:val="28"/>
          <w:u w:val="none"/>
        </w:rPr>
        <w:t xml:space="preserve">Въведение: 2 стр. </w:t>
      </w:r>
    </w:p>
    <w:p>
      <w:pPr>
        <w:pStyle w:val="NormalWeb"/>
        <w:spacing w:lineRule="auto" w:line="240" w:before="337" w:after="337"/>
        <w:jc w:val="start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8"/>
          <w:szCs w:val="28"/>
          <w:u w:val="none"/>
        </w:rPr>
        <w:t xml:space="preserve">Литературен обзор: 62 стр. </w:t>
      </w:r>
    </w:p>
    <w:p>
      <w:pPr>
        <w:pStyle w:val="NormalWeb"/>
        <w:spacing w:lineRule="auto" w:line="240" w:before="337" w:after="337"/>
        <w:jc w:val="start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8"/>
          <w:szCs w:val="28"/>
          <w:u w:val="none"/>
        </w:rPr>
        <w:t xml:space="preserve">Цели и задачи: 1 стр. </w:t>
      </w:r>
    </w:p>
    <w:p>
      <w:pPr>
        <w:pStyle w:val="NormalWeb"/>
        <w:spacing w:lineRule="auto" w:line="240" w:before="337" w:after="337"/>
        <w:jc w:val="start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8"/>
          <w:szCs w:val="28"/>
          <w:u w:val="none"/>
        </w:rPr>
        <w:t xml:space="preserve">Материали и методи: 18 стр. </w:t>
      </w:r>
    </w:p>
    <w:p>
      <w:pPr>
        <w:pStyle w:val="NormalWeb"/>
        <w:spacing w:lineRule="auto" w:line="240" w:before="337" w:after="337"/>
        <w:jc w:val="start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8"/>
          <w:szCs w:val="28"/>
          <w:u w:val="none"/>
        </w:rPr>
        <w:t xml:space="preserve">Резултати: 17 стр. </w:t>
      </w:r>
    </w:p>
    <w:p>
      <w:pPr>
        <w:pStyle w:val="NormalWeb"/>
        <w:spacing w:lineRule="auto" w:line="240" w:before="337" w:after="337"/>
        <w:jc w:val="start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8"/>
          <w:szCs w:val="28"/>
          <w:u w:val="none"/>
        </w:rPr>
        <w:t xml:space="preserve">Обсъждане: 31 стр. </w:t>
      </w:r>
    </w:p>
    <w:p>
      <w:pPr>
        <w:pStyle w:val="NormalWeb"/>
        <w:spacing w:lineRule="auto" w:line="240" w:before="337" w:after="337"/>
        <w:jc w:val="start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8"/>
          <w:szCs w:val="28"/>
          <w:u w:val="none"/>
        </w:rPr>
        <w:t xml:space="preserve">Заключение: 2стр. </w:t>
      </w:r>
    </w:p>
    <w:p>
      <w:pPr>
        <w:pStyle w:val="NormalWeb"/>
        <w:spacing w:lineRule="auto" w:line="240" w:before="337" w:after="337"/>
        <w:jc w:val="start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8"/>
          <w:szCs w:val="28"/>
          <w:u w:val="none"/>
        </w:rPr>
        <w:t xml:space="preserve">Изводи: 2 стр </w:t>
      </w:r>
    </w:p>
    <w:p>
      <w:pPr>
        <w:pStyle w:val="NormalWeb"/>
        <w:spacing w:lineRule="auto" w:line="240" w:before="337" w:after="337"/>
        <w:jc w:val="start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8"/>
          <w:szCs w:val="28"/>
          <w:u w:val="none"/>
        </w:rPr>
        <w:t xml:space="preserve">Научна новост и принос: 2 стр. </w:t>
      </w:r>
    </w:p>
    <w:p>
      <w:pPr>
        <w:pStyle w:val="NormalWeb"/>
        <w:spacing w:lineRule="auto" w:line="240" w:before="337" w:after="337"/>
        <w:jc w:val="start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8"/>
          <w:szCs w:val="28"/>
          <w:u w:val="none"/>
        </w:rPr>
        <w:t xml:space="preserve">Приложения: 4 стр </w:t>
      </w:r>
    </w:p>
    <w:p>
      <w:pPr>
        <w:pStyle w:val="NormalWeb"/>
        <w:spacing w:lineRule="auto" w:line="240" w:before="337" w:after="337"/>
        <w:jc w:val="start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8"/>
          <w:szCs w:val="28"/>
          <w:u w:val="none"/>
        </w:rPr>
        <w:t xml:space="preserve">Книгопис: 34 стр. </w:t>
      </w:r>
    </w:p>
    <w:p>
      <w:pPr>
        <w:pStyle w:val="NormalWeb"/>
        <w:spacing w:lineRule="auto" w:line="240" w:before="337" w:after="337"/>
        <w:jc w:val="start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8"/>
          <w:szCs w:val="28"/>
          <w:u w:val="none"/>
        </w:rPr>
        <w:t>Библиографската справка е съставена от 380 източника, от които 363 на латиница (английски език) и 17 на български език.</w:t>
      </w:r>
    </w:p>
    <w:p>
      <w:pPr>
        <w:pStyle w:val="ListParagraph"/>
        <w:numPr>
          <w:ilvl w:val="0"/>
          <w:numId w:val="2"/>
        </w:numPr>
        <w:spacing w:lineRule="auto" w:line="360" w:beforeAutospacing="1" w:afterAutospacing="1"/>
        <w:contextualSpacing/>
        <w:outlineLvl w:val="1"/>
        <w:rPr>
          <w:rFonts w:ascii="Calibri" w:hAnsi="Calibri"/>
          <w:b/>
          <w:bCs/>
          <w:sz w:val="28"/>
          <w:szCs w:val="28"/>
          <w:u w:val="none"/>
        </w:rPr>
      </w:pPr>
      <w:r>
        <w:rPr>
          <w:rFonts w:eastAsia="Times New Roman" w:cs="Calibri" w:ascii="Calibri" w:hAnsi="Calibri" w:cstheme="minorHAnsi"/>
          <w:b/>
          <w:bCs/>
          <w:sz w:val="28"/>
          <w:szCs w:val="28"/>
          <w:u w:val="none"/>
          <w:lang w:eastAsia="en-GB"/>
        </w:rPr>
        <w:t>Литературен обзор</w:t>
      </w:r>
    </w:p>
    <w:p>
      <w:pPr>
        <w:pStyle w:val="ListParagraph"/>
        <w:numPr>
          <w:ilvl w:val="0"/>
          <w:numId w:val="0"/>
        </w:numPr>
        <w:spacing w:lineRule="auto" w:line="360" w:beforeAutospacing="1" w:afterAutospacing="1"/>
        <w:ind w:firstLine="720" w:start="0"/>
        <w:contextualSpacing/>
        <w:outlineLvl w:val="1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Calibri" w:ascii="Calibri" w:hAnsi="Calibri" w:cstheme="minorHAnsi"/>
          <w:b w:val="false"/>
          <w:bCs w:val="false"/>
          <w:sz w:val="28"/>
          <w:szCs w:val="28"/>
          <w:u w:val="none"/>
          <w:lang w:eastAsia="en-GB"/>
        </w:rPr>
        <w:t>Разпределен е систематично в 5 раздела. Цялостно обхваща развитието и съвременните тенденции на миниивазивние операции при ингвиналните хернии. Във Втория раздел разглежда анатомичнитр предпоставки и кривата на обучение при лапароскопските операции при ингвинални хернии. Разгледани са предпоставките за избор на протезен материал и възможните усложнения при и операциите на ингвинална херния. Разгледани са следоперативните проблемите с хроничната болка и тестикуларната функция. Авторът не пропуска да покаже особеностите на оперативната интервенция при жени. В последния 5-ти раздел разглежда икономическите аспекти на лапароскопските операции при слабинни хернии и съотношението цена – ефективност.</w:t>
      </w:r>
    </w:p>
    <w:p>
      <w:pPr>
        <w:pStyle w:val="ListParagraph"/>
        <w:numPr>
          <w:ilvl w:val="0"/>
          <w:numId w:val="2"/>
        </w:numPr>
        <w:spacing w:lineRule="auto" w:line="360" w:beforeAutospacing="1" w:afterAutospacing="1"/>
        <w:contextualSpacing/>
        <w:outlineLvl w:val="1"/>
        <w:rPr>
          <w:rFonts w:ascii="Calibri" w:hAnsi="Calibri"/>
          <w:b/>
          <w:bCs/>
          <w:sz w:val="28"/>
          <w:szCs w:val="28"/>
          <w:u w:val="none"/>
        </w:rPr>
      </w:pPr>
      <w:r>
        <w:rPr>
          <w:rFonts w:eastAsia="Times New Roman" w:cs="Calibri" w:ascii="Calibri" w:hAnsi="Calibri" w:cstheme="minorHAnsi"/>
          <w:b/>
          <w:bCs/>
          <w:sz w:val="28"/>
          <w:szCs w:val="28"/>
          <w:u w:val="none"/>
          <w:lang w:eastAsia="en-GB"/>
        </w:rPr>
        <w:t>Цел и задачи</w:t>
      </w:r>
    </w:p>
    <w:p>
      <w:pPr>
        <w:pStyle w:val="Normal"/>
        <w:spacing w:lineRule="auto" w:line="360" w:before="0" w:after="0"/>
        <w:ind w:firstLine="720"/>
        <w:jc w:val="both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ascii="Calibri" w:hAnsi="Calibri"/>
          <w:b w:val="false"/>
          <w:bCs w:val="false"/>
          <w:sz w:val="28"/>
          <w:szCs w:val="28"/>
          <w:u w:val="none"/>
        </w:rPr>
        <w:t>Целта е ясно дефинирана и напълно съответства на съвременните насоки за изследване. Задачите са 6 логични и последователни на поставената цел.</w:t>
      </w:r>
    </w:p>
    <w:p>
      <w:pPr>
        <w:pStyle w:val="ListParagraph"/>
        <w:numPr>
          <w:ilvl w:val="0"/>
          <w:numId w:val="2"/>
        </w:numPr>
        <w:spacing w:lineRule="auto" w:line="360" w:beforeAutospacing="1" w:afterAutospacing="1"/>
        <w:contextualSpacing/>
        <w:outlineLvl w:val="1"/>
        <w:rPr>
          <w:rFonts w:ascii="Calibri" w:hAnsi="Calibri"/>
          <w:b/>
          <w:bCs/>
          <w:sz w:val="28"/>
          <w:szCs w:val="28"/>
          <w:u w:val="none"/>
        </w:rPr>
      </w:pPr>
      <w:r>
        <w:rPr>
          <w:rFonts w:eastAsia="Times New Roman" w:cs="Calibri" w:ascii="Calibri" w:hAnsi="Calibri" w:cstheme="minorHAnsi"/>
          <w:b/>
          <w:bCs/>
          <w:sz w:val="28"/>
          <w:szCs w:val="28"/>
          <w:u w:val="none"/>
          <w:lang w:val="en-GB" w:eastAsia="en-GB"/>
        </w:rPr>
        <w:t>Методология и изследователски подход</w:t>
      </w:r>
    </w:p>
    <w:p>
      <w:pPr>
        <w:pStyle w:val="Normal"/>
        <w:numPr>
          <w:ilvl w:val="0"/>
          <w:numId w:val="0"/>
        </w:numPr>
        <w:spacing w:lineRule="auto" w:line="360" w:beforeAutospacing="1" w:afterAutospacing="1"/>
        <w:ind w:firstLine="720" w:start="0"/>
        <w:outlineLvl w:val="1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Calibri" w:ascii="Calibri" w:hAnsi="Calibri" w:cstheme="minorHAnsi"/>
          <w:b w:val="false"/>
          <w:bCs w:val="false"/>
          <w:sz w:val="28"/>
          <w:szCs w:val="28"/>
          <w:u w:val="none"/>
          <w:lang w:eastAsia="en-GB"/>
        </w:rPr>
        <w:t>В главата материали Д-р Катя Тодорова разглежда класификацията на оперираните пациенти с ингвинални хернии. Посочва включващите и изключващите критерии за проучването. Дава схематично представяне на проведеното рандомизирано  проучване на две групи по 100 пациенти. .</w:t>
      </w:r>
    </w:p>
    <w:p>
      <w:pPr>
        <w:pStyle w:val="Normal"/>
        <w:spacing w:lineRule="auto" w:line="360" w:beforeAutospacing="1" w:afterAutospacing="1"/>
        <w:ind w:firstLine="720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Calibri" w:ascii="Calibri" w:hAnsi="Calibri" w:cstheme="minorHAnsi"/>
          <w:b w:val="false"/>
          <w:bCs w:val="false"/>
          <w:sz w:val="28"/>
          <w:szCs w:val="28"/>
          <w:u w:val="none"/>
          <w:lang w:val="en-GB" w:eastAsia="en-GB"/>
        </w:rPr>
        <w:t>Използваните методи са адекватни на поставените цели и задачи. Авторът прилага клиничн</w:t>
      </w:r>
      <w:r>
        <w:rPr>
          <w:rFonts w:eastAsia="Times New Roman" w:cs="Calibri" w:ascii="Calibri" w:hAnsi="Calibri" w:cstheme="minorHAnsi"/>
          <w:b w:val="false"/>
          <w:bCs w:val="false"/>
          <w:sz w:val="28"/>
          <w:szCs w:val="28"/>
          <w:u w:val="none"/>
          <w:lang w:eastAsia="en-GB"/>
        </w:rPr>
        <w:t>о диагностични методи за определяне на индикациите и метода за оперативно лечение.</w:t>
      </w:r>
    </w:p>
    <w:p>
      <w:pPr>
        <w:pStyle w:val="Heading3"/>
        <w:numPr>
          <w:ilvl w:val="0"/>
          <w:numId w:val="0"/>
        </w:numPr>
        <w:spacing w:lineRule="auto" w:line="360" w:beforeAutospacing="1" w:afterAutospacing="1"/>
        <w:ind w:hanging="0" w:start="0"/>
        <w:rPr/>
      </w:pPr>
      <w:r>
        <w:rPr>
          <w:rStyle w:val="Strong"/>
          <w:rFonts w:eastAsia="Times New Roman" w:cs="Times New Roman" w:ascii="Calibri" w:hAnsi="Calibri"/>
          <w:b/>
          <w:bCs/>
          <w:sz w:val="28"/>
          <w:szCs w:val="28"/>
          <w:u w:val="none"/>
          <w:lang w:val="en-GB" w:eastAsia="en-GB"/>
        </w:rPr>
        <w:tab/>
      </w:r>
      <w:r>
        <w:rPr>
          <w:rStyle w:val="Strong"/>
          <w:rFonts w:eastAsia="Times New Roman" w:cs="Times New Roman" w:ascii="Calibri" w:hAnsi="Calibri"/>
          <w:b/>
          <w:bCs/>
          <w:sz w:val="28"/>
          <w:szCs w:val="28"/>
          <w:u w:val="none"/>
          <w:lang w:val="en-US" w:eastAsia="en-GB"/>
        </w:rPr>
        <w:t xml:space="preserve">6. </w:t>
      </w:r>
      <w:r>
        <w:rPr>
          <w:rStyle w:val="Strong"/>
          <w:rFonts w:eastAsia="Times New Roman" w:cs="Times New Roman" w:ascii="Calibri" w:hAnsi="Calibri"/>
          <w:b/>
          <w:bCs/>
          <w:sz w:val="28"/>
          <w:szCs w:val="28"/>
          <w:u w:val="none"/>
          <w:lang w:val="en-GB" w:eastAsia="en-GB"/>
        </w:rPr>
        <w:t>Статистически методи</w:t>
      </w:r>
    </w:p>
    <w:p>
      <w:pPr>
        <w:pStyle w:val="BodyText"/>
        <w:spacing w:lineRule="auto" w:line="360" w:before="280" w:after="280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>Обработката и анализът на данните са извършени със статистическия софтуер JASP. За ниво на статистическа значимост е прието p &lt; 0,05.</w:t>
      </w:r>
    </w:p>
    <w:p>
      <w:pPr>
        <w:pStyle w:val="BodyText"/>
        <w:spacing w:lineRule="auto" w:line="360" w:before="280" w:after="280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>Приложени са следните статистически методи:</w:t>
      </w:r>
    </w:p>
    <w:p>
      <w:pPr>
        <w:pStyle w:val="BodyText"/>
        <w:numPr>
          <w:ilvl w:val="0"/>
          <w:numId w:val="6"/>
        </w:numPr>
        <w:tabs>
          <w:tab w:val="clear" w:pos="720"/>
          <w:tab w:val="left" w:pos="0" w:leader="none"/>
        </w:tabs>
        <w:spacing w:lineRule="auto" w:line="360" w:before="280" w:after="0"/>
        <w:ind w:hanging="283" w:start="709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дескриптивен анализ за представяне на честотни разпределения </w:t>
      </w:r>
    </w:p>
    <w:p>
      <w:pPr>
        <w:pStyle w:val="BodyText"/>
        <w:numPr>
          <w:ilvl w:val="0"/>
          <w:numId w:val="6"/>
        </w:numPr>
        <w:tabs>
          <w:tab w:val="clear" w:pos="720"/>
          <w:tab w:val="left" w:pos="0" w:leader="none"/>
        </w:tabs>
        <w:spacing w:lineRule="auto" w:line="360" w:before="280" w:after="0"/>
        <w:ind w:hanging="283" w:start="709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вариационен анализ за оценка на централна тенденция и разсейване </w:t>
      </w:r>
    </w:p>
    <w:p>
      <w:pPr>
        <w:pStyle w:val="BodyText"/>
        <w:numPr>
          <w:ilvl w:val="0"/>
          <w:numId w:val="6"/>
        </w:numPr>
        <w:tabs>
          <w:tab w:val="clear" w:pos="720"/>
          <w:tab w:val="left" w:pos="0" w:leader="none"/>
        </w:tabs>
        <w:spacing w:lineRule="auto" w:line="360" w:before="280" w:after="0"/>
        <w:ind w:hanging="283" w:start="709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графичен анализ за визуализация на резултатите </w:t>
      </w:r>
    </w:p>
    <w:p>
      <w:pPr>
        <w:pStyle w:val="BodyText"/>
        <w:numPr>
          <w:ilvl w:val="0"/>
          <w:numId w:val="6"/>
        </w:numPr>
        <w:tabs>
          <w:tab w:val="clear" w:pos="720"/>
          <w:tab w:val="left" w:pos="0" w:leader="none"/>
        </w:tabs>
        <w:spacing w:lineRule="auto" w:line="360" w:before="280" w:after="0"/>
        <w:ind w:hanging="283" w:start="709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алтернативен анализ за сравнение на относителни дялове </w:t>
      </w:r>
    </w:p>
    <w:p>
      <w:pPr>
        <w:pStyle w:val="BodyText"/>
        <w:numPr>
          <w:ilvl w:val="0"/>
          <w:numId w:val="6"/>
        </w:numPr>
        <w:tabs>
          <w:tab w:val="clear" w:pos="720"/>
          <w:tab w:val="left" w:pos="0" w:leader="none"/>
        </w:tabs>
        <w:spacing w:lineRule="auto" w:line="360" w:before="280" w:after="0"/>
        <w:ind w:hanging="283" w:start="709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χ² тест и екзактен тест на Фишер за анализ на зависимост между категорийни променливи </w:t>
      </w:r>
    </w:p>
    <w:p>
      <w:pPr>
        <w:pStyle w:val="BodyText"/>
        <w:numPr>
          <w:ilvl w:val="0"/>
          <w:numId w:val="6"/>
        </w:numPr>
        <w:tabs>
          <w:tab w:val="clear" w:pos="720"/>
          <w:tab w:val="left" w:pos="0" w:leader="none"/>
        </w:tabs>
        <w:spacing w:lineRule="auto" w:line="360" w:before="280" w:after="0"/>
        <w:ind w:hanging="283" w:start="709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непараметричен тест на Ман–Уитни за сравнение на независими извадки </w:t>
      </w:r>
    </w:p>
    <w:p>
      <w:pPr>
        <w:pStyle w:val="Normal"/>
        <w:spacing w:lineRule="auto" w:line="360" w:beforeAutospacing="1" w:afterAutospacing="1"/>
        <w:ind w:firstLine="720"/>
        <w:rPr>
          <w:rFonts w:ascii="Calibri" w:hAnsi="Calibri" w:eastAsia="Times New Roman" w:cs="Calibri" w:cstheme="minorHAnsi"/>
          <w:b w:val="false"/>
          <w:bCs w:val="false"/>
          <w:sz w:val="28"/>
          <w:szCs w:val="28"/>
          <w:u w:val="none"/>
          <w:lang w:val="en-GB" w:eastAsia="en-GB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бинарна логистична регресия за оценка влиянието на различни фактори </w:t>
      </w:r>
      <w:r>
        <w:rPr>
          <w:rFonts w:eastAsia="Times New Roman" w:cs="Calibri" w:cstheme="minorHAnsi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 </w:t>
      </w:r>
    </w:p>
    <w:p>
      <w:pPr>
        <w:pStyle w:val="BodyText"/>
        <w:spacing w:lineRule="auto" w:line="360" w:before="280" w:after="280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cs="Times New Roman" w:ascii="Calibri" w:hAnsi="Calibri"/>
          <w:b w:val="false"/>
          <w:bCs w:val="false"/>
          <w:sz w:val="28"/>
          <w:szCs w:val="28"/>
          <w:u w:val="none"/>
        </w:rPr>
        <w:t>Проведеният статистически анализ демонстрира, че двете оперативни техники са съпоставими по отношение на безопасност и клинична ефективност. LESS-TEP показва предимства по отношение на следоперативния комфорт и козметичния резултат, без компромис в дългосрочните резултати.</w:t>
      </w:r>
    </w:p>
    <w:p>
      <w:pPr>
        <w:pStyle w:val="BodyText"/>
        <w:spacing w:lineRule="auto" w:line="360" w:before="280" w:after="280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>Всички пациенти са подписали информирано съгласие.</w:t>
      </w:r>
    </w:p>
    <w:p>
      <w:pPr>
        <w:pStyle w:val="BodyText"/>
        <w:spacing w:lineRule="auto" w:line="360" w:before="280" w:after="280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>Проследени са следните показатели:</w:t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0" w:leader="none"/>
        </w:tabs>
        <w:spacing w:lineRule="auto" w:line="360" w:before="280" w:after="0"/>
        <w:ind w:hanging="283" w:start="709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оперативно време </w:t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0" w:leader="none"/>
        </w:tabs>
        <w:spacing w:lineRule="auto" w:line="360" w:before="280" w:after="0"/>
        <w:ind w:hanging="283" w:start="709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интра- и постоперативни усложнения </w:t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0" w:leader="none"/>
        </w:tabs>
        <w:spacing w:lineRule="auto" w:line="360" w:before="280" w:after="0"/>
        <w:ind w:hanging="283" w:start="709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следоперативна болка (VAS на 1-ви и 7-ми ден) </w:t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0" w:leader="none"/>
        </w:tabs>
        <w:spacing w:lineRule="auto" w:line="360" w:before="280" w:after="0"/>
        <w:ind w:hanging="283" w:start="709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болничен престой </w:t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0" w:leader="none"/>
        </w:tabs>
        <w:spacing w:lineRule="auto" w:line="360" w:before="280" w:after="283"/>
        <w:ind w:hanging="283" w:start="709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конверсии и реоперации </w:t>
      </w:r>
    </w:p>
    <w:p>
      <w:pPr>
        <w:pStyle w:val="BodyText"/>
        <w:spacing w:lineRule="auto" w:line="360" w:before="280" w:after="280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>Заслепяването е осъществено до 24-ия час след операцията чрез унифицирана превръзка. Оценката е извършена от независим наблюдател.</w:t>
      </w:r>
    </w:p>
    <w:p>
      <w:pPr>
        <w:pStyle w:val="BodyText"/>
        <w:spacing w:lineRule="auto" w:line="360" w:before="280" w:after="280"/>
        <w:rPr>
          <w:rFonts w:ascii="Calibri" w:hAnsi="Calibri" w:eastAsia="Times New Roman" w:cs="Times New Roman"/>
          <w:b w:val="false"/>
          <w:bCs w:val="false"/>
          <w:sz w:val="28"/>
          <w:szCs w:val="28"/>
          <w:u w:val="none"/>
          <w:lang w:val="en-GB" w:eastAsia="en-GB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>Двугодишно проследяване е проведено чрез телефонно интервю при 176 пациенти, включващо оценка на удовлетвореността, козметичния резултат и наличие на хронична болка.</w:t>
      </w:r>
    </w:p>
    <w:p>
      <w:pPr>
        <w:pStyle w:val="BodyText"/>
        <w:spacing w:lineRule="auto" w:line="360" w:before="280" w:after="280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ascii="Calibri" w:hAnsi="Calibri"/>
          <w:b w:val="false"/>
          <w:bCs w:val="false"/>
          <w:sz w:val="28"/>
          <w:szCs w:val="28"/>
          <w:u w:val="none"/>
        </w:rPr>
        <w:t>Проведеният статистически анализ демонстрира, че двете оперативни техники са съпоставими по отношение на безопасност и клинична ефективност. LESS-TEP показва предимства по отношение на следоперативния комфорт и козметичния резултат, без компромис в дългосрочните резултати.</w:t>
      </w:r>
    </w:p>
    <w:p>
      <w:pPr>
        <w:pStyle w:val="HorizontalLine"/>
        <w:spacing w:lineRule="auto" w:line="360" w:before="280" w:after="280"/>
        <w:rPr>
          <w:rFonts w:ascii="Calibri" w:hAnsi="Calibri" w:eastAsia="Times New Roman" w:cs="Times New Roman"/>
          <w:b w:val="false"/>
          <w:bCs w:val="false"/>
          <w:sz w:val="28"/>
          <w:szCs w:val="28"/>
          <w:u w:val="none"/>
          <w:lang w:val="en-GB" w:eastAsia="en-GB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</w:r>
    </w:p>
    <w:p>
      <w:pPr>
        <w:pStyle w:val="Heading3"/>
        <w:spacing w:lineRule="auto" w:line="360" w:before="280" w:after="280"/>
        <w:rPr/>
      </w:pPr>
      <w:r>
        <w:rPr>
          <w:rStyle w:val="Strong"/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bg-BG" w:eastAsia="en-GB"/>
        </w:rPr>
        <w:tab/>
        <w:t xml:space="preserve">6. </w:t>
      </w:r>
      <w:r>
        <w:rPr>
          <w:rStyle w:val="Strong"/>
          <w:rFonts w:eastAsia="Times New Roman" w:cs="Times New Roman" w:ascii="Calibri" w:hAnsi="Calibri"/>
          <w:b/>
          <w:bCs/>
          <w:sz w:val="28"/>
          <w:szCs w:val="28"/>
          <w:u w:val="none"/>
          <w:lang w:val="en-GB" w:eastAsia="en-GB"/>
        </w:rPr>
        <w:t>Резултати</w:t>
      </w:r>
      <w:r>
        <w:rPr>
          <w:rStyle w:val="Strong"/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ab/>
        <w:tab/>
      </w:r>
    </w:p>
    <w:p>
      <w:pPr>
        <w:pStyle w:val="BodyText"/>
        <w:spacing w:lineRule="auto" w:line="360" w:before="280" w:after="280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>LESS-TEP техниката демонстрира съпоставими резултати със стандартната TEP по отношение на безопасност и честота на усложнения.</w:t>
      </w:r>
    </w:p>
    <w:p>
      <w:pPr>
        <w:pStyle w:val="BodyText"/>
        <w:spacing w:lineRule="auto" w:line="360" w:before="280" w:after="280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>Основните резултати показват: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0" w:leader="none"/>
        </w:tabs>
        <w:spacing w:lineRule="auto" w:line="360" w:before="280" w:after="0"/>
        <w:ind w:hanging="283" w:start="709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Сходна честота на интра- и постоперативни усложнения в двете групи 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0" w:leader="none"/>
        </w:tabs>
        <w:spacing w:lineRule="auto" w:line="360" w:before="280" w:after="0"/>
        <w:ind w:hanging="283" w:start="709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Сравним болничен престой и възстановяване 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0" w:leader="none"/>
        </w:tabs>
        <w:spacing w:lineRule="auto" w:line="360" w:before="280" w:after="0"/>
        <w:ind w:hanging="283" w:start="709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По-нисък интензитет на следоперативна болка при LESS-TEP 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0" w:leader="none"/>
        </w:tabs>
        <w:spacing w:lineRule="auto" w:line="360" w:before="280" w:after="0"/>
        <w:ind w:hanging="283" w:start="709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По-добри козметични резултати и по-висока удовлетвореност при LESS-TEP 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0" w:leader="none"/>
        </w:tabs>
        <w:spacing w:lineRule="auto" w:line="360" w:before="280" w:after="283"/>
        <w:ind w:hanging="283" w:start="709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Липса на съществена разлика в дългосрочните резултати и рецидивите </w:t>
      </w:r>
    </w:p>
    <w:p>
      <w:pPr>
        <w:pStyle w:val="HorizontalLine"/>
        <w:spacing w:lineRule="auto" w:line="360" w:before="280" w:after="280"/>
        <w:rPr>
          <w:rFonts w:ascii="Calibri" w:hAnsi="Calibri" w:eastAsia="Times New Roman" w:cs="Times New Roman"/>
          <w:b w:val="false"/>
          <w:bCs w:val="false"/>
          <w:sz w:val="28"/>
          <w:szCs w:val="28"/>
          <w:u w:val="none"/>
          <w:lang w:val="en-GB" w:eastAsia="en-GB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</w:r>
    </w:p>
    <w:p>
      <w:pPr>
        <w:pStyle w:val="Heading3"/>
        <w:spacing w:lineRule="auto" w:line="360" w:before="280" w:after="280"/>
        <w:rPr/>
      </w:pPr>
      <w:r>
        <w:rPr>
          <w:rStyle w:val="Strong"/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bg-BG" w:eastAsia="en-GB"/>
        </w:rPr>
        <w:t xml:space="preserve">7. </w:t>
      </w:r>
      <w:r>
        <w:rPr>
          <w:rStyle w:val="Strong"/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>Обсъждане</w:t>
      </w:r>
    </w:p>
    <w:p>
      <w:pPr>
        <w:pStyle w:val="BodyText"/>
        <w:spacing w:lineRule="auto" w:line="360" w:before="280" w:after="280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>Резултатите потвърждават, че LESS-TEP е ефективна и безопасна алтернатива на стандартната TEP техника. Предимствата ѝ са свързани с по-малка хирургична травма и по-добър козметичен ефект.</w:t>
      </w:r>
    </w:p>
    <w:p>
      <w:pPr>
        <w:pStyle w:val="BodyText"/>
        <w:spacing w:lineRule="auto" w:line="360" w:before="280" w:after="280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>Наблюдаваните различия в оперативното време могат да се обяснят с наличието на обучителна крива при въвеждането на техниката.</w:t>
      </w:r>
    </w:p>
    <w:p>
      <w:pPr>
        <w:pStyle w:val="HorizontalLine"/>
        <w:spacing w:lineRule="auto" w:line="360" w:before="280" w:after="280"/>
        <w:rPr>
          <w:rFonts w:ascii="Calibri" w:hAnsi="Calibri" w:eastAsia="Times New Roman" w:cs="Times New Roman"/>
          <w:b w:val="false"/>
          <w:bCs w:val="false"/>
          <w:sz w:val="28"/>
          <w:szCs w:val="28"/>
          <w:u w:val="none"/>
          <w:lang w:val="en-GB" w:eastAsia="en-GB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</w:r>
    </w:p>
    <w:p>
      <w:pPr>
        <w:pStyle w:val="Heading3"/>
        <w:spacing w:lineRule="auto" w:line="360" w:before="280" w:after="280"/>
        <w:rPr/>
      </w:pPr>
      <w:r>
        <w:rPr>
          <w:rStyle w:val="Strong"/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ab/>
      </w:r>
      <w:r>
        <w:rPr>
          <w:rStyle w:val="Strong"/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bg-BG" w:eastAsia="en-GB"/>
        </w:rPr>
        <w:t xml:space="preserve">8. </w:t>
      </w:r>
      <w:r>
        <w:rPr>
          <w:rStyle w:val="Strong"/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>Изводи</w:t>
      </w:r>
    </w:p>
    <w:p>
      <w:pPr>
        <w:pStyle w:val="BodyText"/>
        <w:numPr>
          <w:ilvl w:val="0"/>
          <w:numId w:val="5"/>
        </w:numPr>
        <w:tabs>
          <w:tab w:val="clear" w:pos="720"/>
          <w:tab w:val="left" w:pos="0" w:leader="none"/>
        </w:tabs>
        <w:spacing w:lineRule="auto" w:line="360" w:before="280" w:after="0"/>
        <w:ind w:hanging="283" w:start="709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LESS-TEP е безопасен и ефективен метод за лечение на ингвинална херния. </w:t>
      </w:r>
    </w:p>
    <w:p>
      <w:pPr>
        <w:pStyle w:val="BodyText"/>
        <w:numPr>
          <w:ilvl w:val="0"/>
          <w:numId w:val="5"/>
        </w:numPr>
        <w:tabs>
          <w:tab w:val="clear" w:pos="720"/>
          <w:tab w:val="left" w:pos="0" w:leader="none"/>
        </w:tabs>
        <w:spacing w:lineRule="auto" w:line="360" w:before="280" w:after="0"/>
        <w:ind w:hanging="283" w:start="709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Не се установяват значими различия в честотата на усложнения и рецидиви спрямо стандартната TEP. </w:t>
      </w:r>
    </w:p>
    <w:p>
      <w:pPr>
        <w:pStyle w:val="BodyText"/>
        <w:numPr>
          <w:ilvl w:val="0"/>
          <w:numId w:val="5"/>
        </w:numPr>
        <w:tabs>
          <w:tab w:val="clear" w:pos="720"/>
          <w:tab w:val="left" w:pos="0" w:leader="none"/>
        </w:tabs>
        <w:spacing w:lineRule="auto" w:line="360" w:before="280" w:after="0"/>
        <w:ind w:hanging="283" w:start="709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LESS-TEP осигурява по-ниска следоперативна болка и по-добър козметичен резултат. </w:t>
      </w:r>
    </w:p>
    <w:p>
      <w:pPr>
        <w:pStyle w:val="BodyText"/>
        <w:numPr>
          <w:ilvl w:val="0"/>
          <w:numId w:val="5"/>
        </w:numPr>
        <w:tabs>
          <w:tab w:val="clear" w:pos="720"/>
          <w:tab w:val="left" w:pos="0" w:leader="none"/>
        </w:tabs>
        <w:spacing w:lineRule="auto" w:line="360" w:before="280" w:after="283"/>
        <w:ind w:hanging="283" w:start="709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Методът изисква специфична хирургична експертиза и обучение. </w:t>
      </w:r>
    </w:p>
    <w:p>
      <w:pPr>
        <w:pStyle w:val="Normal"/>
        <w:numPr>
          <w:ilvl w:val="0"/>
          <w:numId w:val="0"/>
        </w:numPr>
        <w:spacing w:lineRule="auto" w:line="360" w:beforeAutospacing="1" w:afterAutospacing="1"/>
        <w:ind w:firstLine="720" w:start="0"/>
        <w:outlineLvl w:val="1"/>
        <w:rPr>
          <w:b/>
          <w:bCs/>
        </w:rPr>
      </w:pPr>
      <w:r>
        <w:rPr>
          <w:rFonts w:eastAsia="Times New Roman" w:cs="Calibri" w:ascii="Calibri" w:hAnsi="Calibri" w:cstheme="minorHAnsi"/>
          <w:b/>
          <w:bCs/>
          <w:sz w:val="28"/>
          <w:szCs w:val="28"/>
          <w:u w:val="none"/>
          <w:lang w:val="bg-BG" w:eastAsia="en-GB"/>
        </w:rPr>
        <w:t>9</w:t>
      </w:r>
      <w:r>
        <w:rPr>
          <w:rFonts w:eastAsia="Times New Roman" w:cs="Calibri" w:ascii="Calibri" w:hAnsi="Calibri" w:cstheme="minorHAnsi"/>
          <w:b/>
          <w:bCs/>
          <w:sz w:val="28"/>
          <w:szCs w:val="28"/>
          <w:u w:val="none"/>
          <w:lang w:val="en-GB" w:eastAsia="en-GB"/>
        </w:rPr>
        <w:t xml:space="preserve">. Основни </w:t>
      </w:r>
      <w:r>
        <w:rPr>
          <w:rFonts w:eastAsia="Times New Roman" w:cs="Calibri" w:ascii="Calibri" w:hAnsi="Calibri" w:cstheme="minorHAnsi"/>
          <w:b/>
          <w:bCs/>
          <w:sz w:val="28"/>
          <w:szCs w:val="28"/>
          <w:u w:val="none"/>
          <w:lang w:val="en-US" w:eastAsia="en-GB"/>
        </w:rPr>
        <w:t>научн</w:t>
      </w:r>
      <w:r>
        <w:rPr>
          <w:rFonts w:eastAsia="Times New Roman" w:cs="Calibri" w:ascii="Calibri" w:hAnsi="Calibri" w:cstheme="minorHAnsi"/>
          <w:b/>
          <w:bCs/>
          <w:sz w:val="28"/>
          <w:szCs w:val="28"/>
          <w:u w:val="none"/>
          <w:lang w:val="en-US" w:eastAsia="en-GB"/>
        </w:rPr>
        <w:t xml:space="preserve">a </w:t>
      </w:r>
      <w:r>
        <w:rPr>
          <w:rFonts w:eastAsia="Times New Roman" w:cs="Calibri" w:ascii="Calibri" w:hAnsi="Calibri" w:cstheme="minorHAnsi"/>
          <w:b/>
          <w:bCs/>
          <w:sz w:val="28"/>
          <w:szCs w:val="28"/>
          <w:u w:val="none"/>
          <w:lang w:val="bg-BG" w:eastAsia="en-GB"/>
        </w:rPr>
        <w:t xml:space="preserve">новост </w:t>
      </w:r>
      <w:r>
        <w:rPr>
          <w:rFonts w:eastAsia="Times New Roman" w:cs="Calibri" w:ascii="Calibri" w:hAnsi="Calibri" w:cstheme="minorHAnsi"/>
          <w:b/>
          <w:bCs/>
          <w:sz w:val="28"/>
          <w:szCs w:val="28"/>
          <w:u w:val="none"/>
          <w:lang w:val="en-US" w:eastAsia="en-GB"/>
        </w:rPr>
        <w:t>и</w:t>
      </w:r>
      <w:r>
        <w:rPr>
          <w:rFonts w:eastAsia="Times New Roman" w:cs="Calibri" w:ascii="Calibri" w:hAnsi="Calibri" w:cstheme="minorHAnsi"/>
          <w:b/>
          <w:bCs/>
          <w:sz w:val="28"/>
          <w:szCs w:val="28"/>
          <w:u w:val="none"/>
          <w:lang w:val="en-GB" w:eastAsia="en-GB"/>
        </w:rPr>
        <w:t xml:space="preserve"> приноси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360" w:before="280" w:after="0"/>
        <w:ind w:hanging="283" w:start="709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За първи път в България е проведено проспективно рандомизирано сравнително изследване между TEP и LESS-TEP. 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360" w:before="280" w:after="0"/>
        <w:ind w:hanging="283" w:start="709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Представени са оригинални клинични данни за ефективността и безопасността на LESS-TEP в българската популация. 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360" w:before="280" w:after="0"/>
        <w:ind w:hanging="283" w:start="709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Извършен е комплексен анализ на ранните и дългосрочните резултати, включително пациент-репортирани показатели (PROs). 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360" w:before="280" w:after="283"/>
        <w:ind w:hanging="283" w:start="709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За първи път се анализира директно пациентското предпочитание към броя на кожните разрези като самостоятелен показател. </w:t>
      </w:r>
    </w:p>
    <w:p>
      <w:pPr>
        <w:pStyle w:val="Heading3"/>
        <w:numPr>
          <w:ilvl w:val="0"/>
          <w:numId w:val="0"/>
        </w:numPr>
        <w:spacing w:lineRule="auto" w:line="360" w:before="280" w:after="280"/>
        <w:ind w:hanging="0" w:start="720"/>
        <w:rPr/>
      </w:pPr>
      <w:r>
        <w:rPr>
          <w:rStyle w:val="Strong"/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>Научни приноси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360" w:before="280" w:after="0"/>
        <w:ind w:hanging="283" w:start="709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Доказана е клиничната еквивалентност между LESS-TEP и стандартната TEP по отношение на основните хирургични резултати. 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360" w:before="280" w:after="0"/>
        <w:ind w:hanging="283" w:start="709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Установено е статистически значимо предимство на LESS-TEP по отношение на козметичния резултат. 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360" w:before="280" w:after="283"/>
        <w:ind w:hanging="283" w:start="709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Доказано е, че броят на кожните разрези влияе върху пациентското възприятие и удовлетвореност. </w:t>
      </w:r>
    </w:p>
    <w:p>
      <w:pPr>
        <w:pStyle w:val="Heading3"/>
        <w:numPr>
          <w:ilvl w:val="0"/>
          <w:numId w:val="0"/>
        </w:numPr>
        <w:spacing w:lineRule="auto" w:line="360" w:before="280" w:after="280"/>
        <w:ind w:hanging="0" w:start="720"/>
        <w:rPr/>
      </w:pPr>
      <w:r>
        <w:rPr>
          <w:rStyle w:val="Strong"/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>Научно-приложни приноси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360" w:before="280" w:after="0"/>
        <w:ind w:hanging="283" w:start="709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Обосновано е внедряването на LESS-TEP в българската хирургична практика. 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360" w:before="280" w:after="0"/>
        <w:ind w:hanging="283" w:start="709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Формулирани са критерии за избор на подходяща оперативна техника. 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360" w:before="280" w:after="283"/>
        <w:ind w:hanging="283" w:start="709"/>
        <w:rPr>
          <w:rFonts w:ascii="Calibri" w:hAnsi="Calibri" w:eastAsia="Times New Roman" w:cs="Times New Roman"/>
          <w:b w:val="false"/>
          <w:bCs w:val="false"/>
          <w:sz w:val="28"/>
          <w:szCs w:val="28"/>
          <w:u w:val="none"/>
          <w:lang w:val="en-GB" w:eastAsia="en-GB"/>
        </w:rPr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Подпомогнато е развитието на минимално инвазивната хирургия и обучението на хирурзи в еднопортови техники. </w:t>
      </w:r>
    </w:p>
    <w:p>
      <w:pPr>
        <w:pStyle w:val="BodyText"/>
        <w:widowControl/>
        <w:numPr>
          <w:ilvl w:val="0"/>
          <w:numId w:val="0"/>
        </w:numPr>
        <w:tabs>
          <w:tab w:val="clear" w:pos="720"/>
          <w:tab w:val="left" w:pos="0" w:leader="none"/>
        </w:tabs>
        <w:suppressAutoHyphens w:val="true"/>
        <w:bidi w:val="0"/>
        <w:spacing w:lineRule="auto" w:line="360" w:before="280" w:after="283"/>
        <w:ind w:hanging="0" w:start="0" w:end="0"/>
        <w:jc w:val="start"/>
        <w:rPr/>
      </w:pP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            </w:t>
      </w: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Проучването не просто сравнява две техники — то показва </w:t>
      </w:r>
      <w:r>
        <w:rPr>
          <w:rStyle w:val="Strong"/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>прехода от “ефективна хирургия” към “пациент-</w:t>
      </w:r>
      <w:r>
        <w:rPr>
          <w:rStyle w:val="Strong"/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bg-BG" w:eastAsia="en-GB"/>
        </w:rPr>
        <w:t>ориентирана</w:t>
      </w:r>
      <w:r>
        <w:rPr>
          <w:rStyle w:val="Strong"/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 хирургия”</w:t>
      </w: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en-GB" w:eastAsia="en-GB"/>
        </w:rPr>
        <w:t xml:space="preserve">, където козметиката и субективното възприятие стават равностойни на клиничните </w:t>
      </w: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bg-BG" w:eastAsia="en-GB"/>
        </w:rPr>
        <w:t>резултат</w:t>
      </w:r>
      <w:r>
        <w:rPr>
          <w:rFonts w:eastAsia="Times New Roman" w:cs="Times New Roman" w:ascii="Calibri" w:hAnsi="Calibri"/>
          <w:b w:val="false"/>
          <w:bCs w:val="false"/>
          <w:sz w:val="28"/>
          <w:szCs w:val="28"/>
          <w:u w:val="none"/>
          <w:lang w:val="bg-BG" w:eastAsia="en-GB"/>
        </w:rPr>
        <w:t xml:space="preserve">и. </w:t>
      </w:r>
      <w:r>
        <w:rPr>
          <w:rFonts w:eastAsia="Times New Roman" w:cs="Calibri" w:ascii="Calibri" w:hAnsi="Calibri" w:cstheme="minorHAnsi"/>
          <w:b w:val="false"/>
          <w:bCs w:val="false"/>
          <w:sz w:val="28"/>
          <w:szCs w:val="28"/>
          <w:u w:val="none"/>
          <w:lang w:val="bg-BG" w:eastAsia="en-GB"/>
        </w:rPr>
        <w:t>Приносите</w:t>
      </w:r>
      <w:r>
        <w:rPr>
          <w:rFonts w:eastAsia="Times New Roman" w:cs="Calibri" w:ascii="Calibri" w:hAnsi="Calibri" w:cstheme="minorHAnsi"/>
          <w:b w:val="false"/>
          <w:bCs w:val="false"/>
          <w:sz w:val="28"/>
          <w:szCs w:val="28"/>
          <w:u w:val="none"/>
          <w:lang w:val="en-GB" w:eastAsia="en-GB"/>
        </w:rPr>
        <w:t xml:space="preserve"> са оригинални и имат както теоретична, така и практическа стойност.</w:t>
      </w:r>
    </w:p>
    <w:p>
      <w:pPr>
        <w:pStyle w:val="Normal"/>
        <w:spacing w:lineRule="auto" w:line="360" w:before="0" w:after="0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ascii="Calibri" w:hAnsi="Calibri"/>
          <w:b w:val="false"/>
          <w:bCs w:val="false"/>
          <w:sz w:val="28"/>
          <w:szCs w:val="28"/>
          <w:u w:val="none"/>
        </w:rPr>
        <mc:AlternateContent>
          <mc:Choice Requires="wps">
            <w:drawing>
              <wp:inline distT="0" distB="0" distL="0" distR="0">
                <wp:extent cx="6120130" cy="19050"/>
                <wp:effectExtent l="0" t="0" r="0" b="0"/>
                <wp:docPr id="1" name="Shape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Shape4" path="m0,0l-2147483645,0l-2147483645,-2147483646l0,-2147483646xe" fillcolor="#a0a0a0" stroked="f" o:allowincell="f" style="position:absolute;margin-left:0pt;margin-top:-1.55pt;width:481.8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spacing w:lineRule="auto" w:line="360" w:beforeAutospacing="1" w:afterAutospacing="1"/>
        <w:ind w:hanging="0" w:start="0"/>
        <w:outlineLvl w:val="1"/>
        <w:rPr>
          <w:rFonts w:ascii="Calibri" w:hAnsi="Calibri"/>
          <w:b/>
          <w:bCs/>
          <w:sz w:val="28"/>
          <w:szCs w:val="28"/>
          <w:u w:val="none"/>
        </w:rPr>
      </w:pPr>
      <w:r>
        <w:rPr>
          <w:rFonts w:eastAsia="Times New Roman" w:cs="Calibri" w:ascii="Calibri" w:hAnsi="Calibri" w:cstheme="minorHAnsi"/>
          <w:b/>
          <w:bCs/>
          <w:sz w:val="28"/>
          <w:szCs w:val="28"/>
          <w:u w:val="none"/>
          <w:lang w:val="bg-BG" w:eastAsia="en-GB"/>
        </w:rPr>
        <w:tab/>
        <w:t>10</w:t>
      </w:r>
      <w:r>
        <w:rPr>
          <w:rFonts w:eastAsia="Times New Roman" w:cs="Calibri" w:ascii="Calibri" w:hAnsi="Calibri" w:cstheme="minorHAnsi"/>
          <w:b/>
          <w:bCs/>
          <w:sz w:val="28"/>
          <w:szCs w:val="28"/>
          <w:u w:val="none"/>
          <w:lang w:val="en-GB" w:eastAsia="en-GB"/>
        </w:rPr>
        <w:t>. Публикации по темата на дисертацията</w:t>
      </w:r>
    </w:p>
    <w:p>
      <w:pPr>
        <w:pStyle w:val="Normal"/>
        <w:spacing w:lineRule="auto" w:line="360" w:beforeAutospacing="1" w:afterAutospacing="1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Calibri" w:ascii="Calibri" w:hAnsi="Calibri" w:cstheme="minorHAnsi"/>
          <w:b w:val="false"/>
          <w:bCs w:val="false"/>
          <w:sz w:val="28"/>
          <w:szCs w:val="28"/>
          <w:u w:val="none"/>
          <w:lang w:val="en-GB" w:eastAsia="en-GB"/>
        </w:rPr>
        <w:t>Резултатите от изследването са публикувани в</w:t>
      </w:r>
      <w:r>
        <w:rPr>
          <w:rFonts w:eastAsia="Times New Roman" w:cs="Calibri" w:ascii="Calibri" w:hAnsi="Calibri" w:cstheme="minorHAnsi"/>
          <w:b w:val="false"/>
          <w:bCs w:val="false"/>
          <w:sz w:val="28"/>
          <w:szCs w:val="28"/>
          <w:u w:val="none"/>
          <w:lang w:val="bg-BG" w:eastAsia="en-GB"/>
        </w:rPr>
        <w:t xml:space="preserve"> </w:t>
      </w:r>
      <w:r>
        <w:rPr>
          <w:rFonts w:eastAsia="Times New Roman" w:cs="Calibri" w:ascii="Calibri" w:hAnsi="Calibri" w:cstheme="minorHAnsi"/>
          <w:b w:val="false"/>
          <w:bCs w:val="false"/>
          <w:sz w:val="28"/>
          <w:szCs w:val="28"/>
          <w:u w:val="none"/>
          <w:lang w:val="bg-BG" w:eastAsia="en-GB"/>
        </w:rPr>
        <w:t>3</w:t>
      </w:r>
      <w:r>
        <w:rPr>
          <w:rFonts w:eastAsia="Times New Roman" w:cs="Calibri" w:ascii="Calibri" w:hAnsi="Calibri" w:cstheme="minorHAnsi"/>
          <w:b w:val="false"/>
          <w:bCs w:val="false"/>
          <w:sz w:val="28"/>
          <w:szCs w:val="28"/>
          <w:u w:val="none"/>
          <w:lang w:val="bg-BG" w:eastAsia="en-GB"/>
        </w:rPr>
        <w:t xml:space="preserve"> </w:t>
      </w:r>
      <w:r>
        <w:rPr>
          <w:rFonts w:eastAsia="Times New Roman" w:cs="Calibri" w:ascii="Calibri" w:hAnsi="Calibri" w:cstheme="minorHAnsi"/>
          <w:b w:val="false"/>
          <w:bCs w:val="false"/>
          <w:sz w:val="28"/>
          <w:szCs w:val="28"/>
          <w:u w:val="none"/>
          <w:lang w:val="en-GB" w:eastAsia="en-GB"/>
        </w:rPr>
        <w:t xml:space="preserve">научни труда, от които </w:t>
      </w:r>
      <w:r>
        <w:rPr>
          <w:rFonts w:eastAsia="Times New Roman" w:cs="Calibri" w:ascii="Calibri" w:hAnsi="Calibri" w:cstheme="minorHAnsi"/>
          <w:b w:val="false"/>
          <w:bCs w:val="false"/>
          <w:sz w:val="28"/>
          <w:szCs w:val="28"/>
          <w:u w:val="none"/>
          <w:lang w:val="bg-BG" w:eastAsia="en-GB"/>
        </w:rPr>
        <w:t xml:space="preserve">2 </w:t>
      </w:r>
      <w:r>
        <w:rPr>
          <w:rFonts w:eastAsia="Times New Roman" w:cs="Calibri" w:ascii="Calibri" w:hAnsi="Calibri" w:cstheme="minorHAnsi"/>
          <w:b w:val="false"/>
          <w:bCs w:val="false"/>
          <w:sz w:val="28"/>
          <w:szCs w:val="28"/>
          <w:u w:val="none"/>
          <w:lang w:val="en-GB" w:eastAsia="en-GB"/>
        </w:rPr>
        <w:t>в реферирани и индексирани издания.</w:t>
      </w:r>
    </w:p>
    <w:p>
      <w:pPr>
        <w:pStyle w:val="Normal"/>
        <w:numPr>
          <w:ilvl w:val="0"/>
          <w:numId w:val="0"/>
        </w:numPr>
        <w:spacing w:lineRule="auto" w:line="360" w:beforeAutospacing="1" w:afterAutospacing="1"/>
        <w:ind w:hanging="0" w:start="0"/>
        <w:outlineLvl w:val="1"/>
        <w:rPr>
          <w:rFonts w:ascii="Calibri" w:hAnsi="Calibri"/>
          <w:b/>
          <w:bCs/>
          <w:sz w:val="28"/>
          <w:szCs w:val="28"/>
          <w:u w:val="none"/>
        </w:rPr>
      </w:pPr>
      <w:r>
        <w:rPr>
          <w:rFonts w:eastAsia="Times New Roman" w:cs="Calibri" w:ascii="Calibri" w:hAnsi="Calibri" w:cstheme="minorHAnsi"/>
          <w:b/>
          <w:bCs/>
          <w:sz w:val="28"/>
          <w:szCs w:val="28"/>
          <w:u w:val="none"/>
          <w:lang w:val="en-US" w:eastAsia="en-GB"/>
        </w:rPr>
        <w:tab/>
        <w:t>11</w:t>
      </w:r>
      <w:r>
        <w:rPr>
          <w:rFonts w:eastAsia="Times New Roman" w:cs="Calibri" w:ascii="Calibri" w:hAnsi="Calibri" w:cstheme="minorHAnsi"/>
          <w:b/>
          <w:bCs/>
          <w:sz w:val="28"/>
          <w:szCs w:val="28"/>
          <w:u w:val="none"/>
          <w:lang w:val="en-GB" w:eastAsia="en-GB"/>
        </w:rPr>
        <w:t>. Критични бележки и препоръки</w:t>
      </w:r>
    </w:p>
    <w:p>
      <w:pPr>
        <w:pStyle w:val="Normal"/>
        <w:spacing w:lineRule="auto" w:line="360" w:beforeAutospacing="1" w:afterAutospacing="1"/>
        <w:rPr>
          <w:rFonts w:ascii="Calibri" w:hAnsi="Calibri" w:eastAsia="Times New Roman" w:cs="Calibri" w:cstheme="minorHAnsi"/>
          <w:b w:val="false"/>
          <w:bCs w:val="false"/>
          <w:sz w:val="28"/>
          <w:szCs w:val="28"/>
          <w:u w:val="none"/>
          <w:lang w:val="bg-BG" w:eastAsia="en-GB"/>
        </w:rPr>
      </w:pPr>
      <w:r>
        <w:rPr>
          <w:rFonts w:eastAsia="Times New Roman" w:cs="Calibri" w:cstheme="minorHAnsi" w:ascii="Calibri" w:hAnsi="Calibri"/>
          <w:b w:val="false"/>
          <w:bCs w:val="false"/>
          <w:sz w:val="28"/>
          <w:szCs w:val="28"/>
          <w:u w:val="none"/>
          <w:lang w:val="bg-BG" w:eastAsia="en-GB"/>
        </w:rPr>
        <w:t xml:space="preserve">Категорично нямам критични бележки към предоставения ми труд . </w:t>
      </w:r>
    </w:p>
    <w:p>
      <w:pPr>
        <w:pStyle w:val="Normal"/>
        <w:spacing w:lineRule="auto" w:line="360" w:beforeAutospacing="1" w:afterAutospacing="1"/>
        <w:rPr>
          <w:rFonts w:ascii="Calibri" w:hAnsi="Calibri" w:eastAsia="Times New Roman" w:cs="Calibri" w:cstheme="minorHAnsi"/>
          <w:b w:val="false"/>
          <w:bCs w:val="false"/>
          <w:sz w:val="28"/>
          <w:szCs w:val="28"/>
          <w:u w:val="none"/>
          <w:lang w:val="bg-BG" w:eastAsia="en-GB"/>
        </w:rPr>
      </w:pPr>
      <w:r>
        <w:rPr>
          <w:rFonts w:eastAsia="Times New Roman" w:cs="Calibri" w:cstheme="minorHAnsi" w:ascii="Calibri" w:hAnsi="Calibri"/>
          <w:b w:val="false"/>
          <w:bCs w:val="false"/>
          <w:sz w:val="28"/>
          <w:szCs w:val="28"/>
          <w:u w:val="none"/>
          <w:lang w:val="bg-BG" w:eastAsia="en-GB"/>
        </w:rPr>
        <w:t>Препоръчвам на Д-р Катя Тодорова да запази ентусиазма и творческия си дух.</w:t>
      </w:r>
    </w:p>
    <w:p>
      <w:pPr>
        <w:pStyle w:val="Normal"/>
        <w:numPr>
          <w:ilvl w:val="0"/>
          <w:numId w:val="0"/>
        </w:numPr>
        <w:spacing w:lineRule="auto" w:line="360" w:beforeAutospacing="1" w:afterAutospacing="1"/>
        <w:ind w:hanging="0" w:start="0"/>
        <w:outlineLvl w:val="1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Calibri" w:ascii="Calibri" w:hAnsi="Calibri" w:cstheme="minorHAnsi"/>
          <w:b/>
          <w:bCs/>
          <w:sz w:val="28"/>
          <w:szCs w:val="28"/>
          <w:u w:val="none"/>
          <w:lang w:val="bg-BG" w:eastAsia="en-GB"/>
        </w:rPr>
        <w:t>11</w:t>
      </w:r>
      <w:r>
        <w:rPr>
          <w:rFonts w:eastAsia="Times New Roman" w:cs="Calibri" w:ascii="Calibri" w:hAnsi="Calibri" w:cstheme="minorHAnsi"/>
          <w:b/>
          <w:bCs/>
          <w:sz w:val="28"/>
          <w:szCs w:val="28"/>
          <w:u w:val="none"/>
          <w:lang w:val="en-GB" w:eastAsia="en-GB"/>
        </w:rPr>
        <w:t>. Заключение</w:t>
      </w:r>
    </w:p>
    <w:p>
      <w:pPr>
        <w:pStyle w:val="Normal"/>
        <w:spacing w:lineRule="auto" w:line="360" w:beforeAutospacing="1" w:afterAutospacing="1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Calibri" w:ascii="Calibri" w:hAnsi="Calibri" w:cstheme="minorHAnsi"/>
          <w:b w:val="false"/>
          <w:bCs w:val="false"/>
          <w:sz w:val="28"/>
          <w:szCs w:val="28"/>
          <w:u w:val="none"/>
          <w:lang w:val="en-GB" w:eastAsia="en-GB"/>
        </w:rPr>
        <w:t>Дисертационният труд представлява завършено научно изследване с ясно формулирани цели, задачи и научни приноси. Той отговаря на изискванията на Закона за развитие на академичния състав в Република България.</w:t>
      </w:r>
    </w:p>
    <w:p>
      <w:pPr>
        <w:pStyle w:val="Normal"/>
        <w:spacing w:lineRule="auto" w:line="360" w:beforeAutospacing="1" w:afterAutospacing="1"/>
        <w:rPr>
          <w:rFonts w:ascii="Calibri" w:hAnsi="Calibri"/>
          <w:b w:val="false"/>
          <w:bCs w:val="false"/>
          <w:sz w:val="28"/>
          <w:szCs w:val="28"/>
          <w:u w:val="none"/>
        </w:rPr>
      </w:pPr>
      <w:r>
        <w:rPr>
          <w:rFonts w:eastAsia="Times New Roman" w:cs="Calibri" w:ascii="Calibri" w:hAnsi="Calibri" w:cstheme="minorHAnsi"/>
          <w:b w:val="false"/>
          <w:bCs w:val="false"/>
          <w:sz w:val="28"/>
          <w:szCs w:val="28"/>
          <w:u w:val="none"/>
          <w:lang w:val="en-GB" w:eastAsia="en-GB"/>
        </w:rPr>
        <w:t xml:space="preserve">Предлагам на уважаемото научно жури да присъди на </w:t>
      </w:r>
      <w:r>
        <w:rPr>
          <w:rFonts w:eastAsia="Times New Roman" w:cs="Calibri" w:ascii="Calibri" w:hAnsi="Calibri" w:cstheme="minorHAnsi"/>
          <w:b w:val="false"/>
          <w:bCs w:val="false"/>
          <w:sz w:val="28"/>
          <w:szCs w:val="28"/>
          <w:u w:val="none"/>
          <w:lang w:eastAsia="en-GB"/>
        </w:rPr>
        <w:t>Д-р Катя Тодорова Тодорова</w:t>
      </w:r>
      <w:r>
        <w:rPr>
          <w:rFonts w:eastAsia="Times New Roman" w:cs="Calibri" w:ascii="Calibri" w:hAnsi="Calibri" w:cstheme="minorHAnsi"/>
          <w:b w:val="false"/>
          <w:bCs w:val="false"/>
          <w:sz w:val="28"/>
          <w:szCs w:val="28"/>
          <w:u w:val="none"/>
          <w:lang w:val="en-GB" w:eastAsia="en-GB"/>
        </w:rPr>
        <w:t xml:space="preserve"> образователната и научна степен „доктор“.</w:t>
      </w:r>
    </w:p>
    <w:p>
      <w:pPr>
        <w:pStyle w:val="Normal"/>
        <w:spacing w:lineRule="auto" w:line="360" w:beforeAutospacing="1" w:afterAutospacing="1"/>
        <w:rPr>
          <w:rFonts w:ascii="Calibri" w:hAnsi="Calibri" w:eastAsia="Times New Roman" w:cs="Calibri" w:cstheme="minorHAnsi"/>
          <w:b w:val="false"/>
          <w:bCs w:val="false"/>
          <w:sz w:val="28"/>
          <w:szCs w:val="28"/>
          <w:u w:val="none"/>
          <w:lang w:val="bg-BG" w:eastAsia="en-GB"/>
        </w:rPr>
      </w:pPr>
      <w:r>
        <w:rPr>
          <w:rFonts w:eastAsia="Times New Roman" w:cs="Calibri" w:cstheme="minorHAnsi" w:ascii="Calibri" w:hAnsi="Calibri"/>
          <w:b w:val="false"/>
          <w:bCs w:val="false"/>
          <w:sz w:val="28"/>
          <w:szCs w:val="28"/>
          <w:u w:val="none"/>
          <w:lang w:val="bg-BG" w:eastAsia="en-GB"/>
        </w:rPr>
        <w:t xml:space="preserve">Проф. Александър Червеняков д м н       </w:t>
      </w:r>
      <w:r>
        <w:rPr>
          <w:rFonts w:eastAsia="Times New Roman" w:cs="Calibri" w:cstheme="minorHAnsi" w:ascii="MV Boli" w:hAnsi="MV Boli"/>
          <w:b w:val="false"/>
          <w:bCs w:val="false"/>
          <w:sz w:val="28"/>
          <w:szCs w:val="28"/>
          <w:u w:val="none"/>
          <w:lang w:val="bg-BG" w:eastAsia="en-GB"/>
        </w:rPr>
        <w:t xml:space="preserve">   </w:t>
      </w:r>
      <w:r>
        <w:rPr>
          <w:rFonts w:eastAsia="Times New Roman" w:cs="Calibri" w:cstheme="minorHAnsi" w:ascii="MV Boli" w:hAnsi="MV Boli"/>
          <w:b w:val="false"/>
          <w:bCs w:val="false"/>
          <w:color w:val="5983B0"/>
          <w:sz w:val="28"/>
          <w:szCs w:val="28"/>
          <w:u w:val="none"/>
          <w:lang w:val="bg-BG" w:eastAsia="en-GB"/>
        </w:rPr>
        <w:t xml:space="preserve"> </w:t>
      </w:r>
      <w:r>
        <w:rPr>
          <w:rFonts w:eastAsia="Times New Roman" w:cs="Calibri" w:cstheme="minorHAnsi" w:ascii="MV Boli" w:hAnsi="MV Boli"/>
          <w:b w:val="false"/>
          <w:bCs w:val="false"/>
          <w:color w:val="5983B0"/>
          <w:sz w:val="42"/>
          <w:szCs w:val="42"/>
          <w:u w:val="none"/>
          <w:lang w:val="en-US" w:eastAsia="en-GB"/>
        </w:rPr>
        <w:t xml:space="preserve">A. </w:t>
      </w:r>
      <w:r>
        <w:rPr>
          <w:rFonts w:eastAsia="Times New Roman" w:cs="Calibri" w:cstheme="minorHAnsi" w:ascii="Segoe Script" w:hAnsi="Segoe Script"/>
          <w:b w:val="false"/>
          <w:bCs w:val="false"/>
          <w:color w:val="5983B0"/>
          <w:sz w:val="42"/>
          <w:szCs w:val="42"/>
          <w:u w:val="none"/>
          <w:lang w:val="bg-BG" w:eastAsia="en-GB"/>
        </w:rPr>
        <w:t>Червеняков</w:t>
      </w:r>
    </w:p>
    <w:sectPr>
      <w:footerReference w:type="even" r:id="rId2"/>
      <w:footerReference w:type="default" r:id="rId3"/>
      <w:type w:val="nextPage"/>
      <w:pgSz w:w="11906" w:h="16838"/>
      <w:pgMar w:left="1134" w:right="1134" w:gutter="0" w:header="0" w:top="1134" w:footer="1134" w:bottom="231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OpenSymbol">
    <w:altName w:val="Arial Unicode MS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Calibri">
    <w:charset w:val="01"/>
    <w:family w:val="swiss"/>
    <w:pitch w:val="variable"/>
  </w:font>
  <w:font w:name="MV Boli">
    <w:charset w:val="01"/>
    <w:family w:val="auto"/>
    <w:pitch w:val="variable"/>
  </w:font>
  <w:font w:name="Segoe Script">
    <w:charset w:val="01"/>
    <w:family w:val="script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jc w:val="start"/>
      <w:rPr/>
    </w:pPr>
    <w:r>
      <w:rPr/>
    </w:r>
    <w:bookmarkStart w:id="1" w:name="PageNumWizard_FOOTER_Default_Page_Style2"/>
    <w:bookmarkStart w:id="2" w:name="PageNumWizard_FOOTER_Default_Page_Style2"/>
    <w:bookmarkEnd w:id="2"/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  <w:bookmarkStart w:id="3" w:name="PageNumWizard_FOOTER_Default_Page_Style9"/>
    <w:bookmarkStart w:id="4" w:name="PageNumWizard_FOOTER_Default_Page_Style9"/>
    <w:bookmarkEnd w:id="4"/>
  </w:p>
  <w:p>
    <w:pPr>
      <w:pStyle w:val="Footer"/>
      <w:spacing w:before="0" w:after="160"/>
      <w:jc w:val="end"/>
      <w:rPr/>
    </w:pPr>
    <w:bookmarkStart w:id="5" w:name="PageNumWizard_FOOTER_Default_Page_Style1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  <w:bookmarkEnd w:id="5"/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144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16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88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60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32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04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76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48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200" w:hanging="18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mirrorMargins/>
  <w:defaultTabStop w:val="720"/>
  <w:autoHyphenation w:val="true"/>
  <w:hyphenationZone w:val="0"/>
  <w:evenAndOddHeader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GB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bg-BG" w:eastAsia="en-US" w:bidi="ar-SA"/>
    </w:rPr>
  </w:style>
  <w:style w:type="paragraph" w:styleId="Heading1">
    <w:name w:val="heading 1"/>
    <w:basedOn w:val="Heading"/>
    <w:next w:val="BodyText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Heading3">
    <w:name w:val="heading 3"/>
    <w:basedOn w:val="Heading"/>
    <w:next w:val="BodyText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Heading4">
    <w:name w:val="heading 4"/>
    <w:basedOn w:val="Heading"/>
    <w:next w:val="BodyText"/>
    <w:qFormat/>
    <w:pPr>
      <w:spacing w:before="120" w:after="120"/>
      <w:outlineLvl w:val="3"/>
    </w:pPr>
    <w:rPr>
      <w:rFonts w:ascii="Liberation Serif" w:hAnsi="Liberation Serif" w:eastAsia="Segoe UI" w:cs="Tahoma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Pr>
      <w:b/>
      <w:bCs/>
    </w:rPr>
  </w:style>
  <w:style w:type="character" w:styleId="NumberingSymbols">
    <w:name w:val="Numbering Symbols"/>
    <w:qFormat/>
    <w:rPr/>
  </w:style>
  <w:style w:type="character" w:styleId="Bulletsuser">
    <w:name w:val="Bullets (user)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953eb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344b15"/>
    <w:pPr>
      <w:spacing w:before="0" w:after="160"/>
      <w:ind w:start="720"/>
      <w:contextualSpacing/>
    </w:pPr>
    <w:rPr/>
  </w:style>
  <w:style w:type="paragraph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HeaderandFooter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Application>LibreOffice/25.8.3.2$Windows_X86_64 LibreOffice_project/8ca8d55c161d602844f5428fa4b58097424e324e</Application>
  <AppVersion>15.0000</AppVersion>
  <Pages>9</Pages>
  <Words>1338</Words>
  <Characters>8316</Characters>
  <CharactersWithSpaces>9624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2026-04-19T22:30:00Z</dcterms:created>
  <dc:creator>Alexander Tcherveniakov</dc:creator>
  <dc:description/>
  <dc:language>bg-BG</dc:language>
  <cp:lastModifiedBy/>
  <dcterms:modified xsi:type="dcterms:W3CDTF">2026-04-21T17:36:10Z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92510129-4fda-4f7e-b9bb-838113d9a194</vt:lpwstr>
  </property>
</Properties>
</file>